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65E" w:rsidRDefault="0032265E" w:rsidP="0032265E">
      <w:pPr>
        <w:pStyle w:val="Zhlav"/>
      </w:pPr>
      <w:bookmarkStart w:id="0" w:name="_GoBack"/>
      <w:bookmarkEnd w:id="0"/>
      <w:r w:rsidRPr="0032265E">
        <w:rPr>
          <w:u w:val="single"/>
        </w:rPr>
        <w:t>Příloha č. 2</w:t>
      </w:r>
      <w:r>
        <w:t xml:space="preserve"> k materiálu „</w:t>
      </w:r>
      <w:r w:rsidRPr="0032265E">
        <w:t>Informace pro vládu České republiky – Zhodnocení přijaté revize směrnice o kontrole nabývání a držení palných zbraní a nástin dalšího postupu České republiky včetně podání žaloby k Soudnímu dvoru Evropské unie</w:t>
      </w:r>
      <w:r>
        <w:t>“</w:t>
      </w:r>
    </w:p>
    <w:p w:rsidR="0032265E" w:rsidRDefault="0032265E" w:rsidP="00225BF7">
      <w:pPr>
        <w:jc w:val="center"/>
        <w:rPr>
          <w:b/>
          <w:bCs/>
        </w:rPr>
      </w:pPr>
    </w:p>
    <w:p w:rsidR="00972824" w:rsidRPr="00972824" w:rsidRDefault="00972824" w:rsidP="00225BF7">
      <w:pPr>
        <w:jc w:val="center"/>
        <w:rPr>
          <w:b/>
          <w:bCs/>
        </w:rPr>
      </w:pPr>
      <w:r w:rsidRPr="00972824">
        <w:rPr>
          <w:b/>
          <w:bCs/>
        </w:rPr>
        <w:t>SMĚRNICE RADY</w:t>
      </w:r>
    </w:p>
    <w:p w:rsidR="00972824" w:rsidRPr="00972824" w:rsidRDefault="00972824" w:rsidP="00225BF7">
      <w:pPr>
        <w:jc w:val="center"/>
        <w:rPr>
          <w:b/>
          <w:bCs/>
        </w:rPr>
      </w:pPr>
      <w:r w:rsidRPr="00972824">
        <w:rPr>
          <w:b/>
          <w:bCs/>
        </w:rPr>
        <w:t>ze dne 18. června 1991</w:t>
      </w:r>
    </w:p>
    <w:p w:rsidR="00972824" w:rsidRPr="00972824" w:rsidRDefault="00972824" w:rsidP="00225BF7">
      <w:pPr>
        <w:jc w:val="center"/>
        <w:rPr>
          <w:b/>
          <w:bCs/>
        </w:rPr>
      </w:pPr>
      <w:r w:rsidRPr="00972824">
        <w:rPr>
          <w:b/>
          <w:bCs/>
        </w:rPr>
        <w:t>o kontrole nabývání a držení zbraní</w:t>
      </w:r>
    </w:p>
    <w:p w:rsidR="00972824" w:rsidRPr="00972824" w:rsidRDefault="00972824" w:rsidP="00225BF7">
      <w:pPr>
        <w:jc w:val="center"/>
      </w:pPr>
      <w:r w:rsidRPr="00972824">
        <w:t>(91/477/EHS)</w:t>
      </w:r>
    </w:p>
    <w:p w:rsidR="00972824" w:rsidRDefault="00587ED3" w:rsidP="00225BF7">
      <w:pPr>
        <w:jc w:val="center"/>
      </w:pPr>
      <w:r>
        <w:t>ve znění s</w:t>
      </w:r>
      <w:r w:rsidRPr="00587ED3">
        <w:t>měrnice Evropského parlamentu a Rady 2008/51/ES ze dne 21. května 2008</w:t>
      </w:r>
      <w:r>
        <w:t xml:space="preserve"> a směrnice Evropského parlamentu a Rady 2017/…</w:t>
      </w:r>
      <w:r w:rsidR="001C542F">
        <w:rPr>
          <w:rStyle w:val="Znakapoznpodarou"/>
        </w:rPr>
        <w:footnoteReference w:id="1"/>
      </w:r>
    </w:p>
    <w:p w:rsidR="00AE3476" w:rsidRDefault="00AE3476" w:rsidP="00225BF7">
      <w:pPr>
        <w:jc w:val="center"/>
      </w:pPr>
      <w:r>
        <w:t>- ÚPLNÉ ZNĚNÍ VČETNĚ ÚVODNÍCH USTANOVENÍ (RECITÁLŮ) POZMĚŇUJÍCÍ SMĚRNICE -</w:t>
      </w:r>
    </w:p>
    <w:p w:rsidR="00587ED3" w:rsidRDefault="00587ED3" w:rsidP="008C505C">
      <w:pPr>
        <w:jc w:val="both"/>
      </w:pPr>
    </w:p>
    <w:p w:rsidR="008C505C" w:rsidRPr="008C505C" w:rsidRDefault="008C505C" w:rsidP="00AE3476">
      <w:pPr>
        <w:shd w:val="clear" w:color="auto" w:fill="D9D9D9" w:themeFill="background1" w:themeFillShade="D9"/>
        <w:jc w:val="both"/>
        <w:rPr>
          <w:b/>
          <w:i/>
          <w:u w:val="single"/>
        </w:rPr>
      </w:pPr>
      <w:r w:rsidRPr="008C505C">
        <w:rPr>
          <w:b/>
          <w:i/>
          <w:u w:val="single"/>
        </w:rPr>
        <w:t>Úvodní ustanovení pozměňující směrnice Evropského parlamentu a Rady 2017/…:</w:t>
      </w:r>
    </w:p>
    <w:p w:rsidR="008C505C" w:rsidRPr="008C505C" w:rsidRDefault="008C505C" w:rsidP="00AE3476">
      <w:pPr>
        <w:shd w:val="clear" w:color="auto" w:fill="D9D9D9" w:themeFill="background1" w:themeFillShade="D9"/>
        <w:jc w:val="both"/>
        <w:rPr>
          <w:i/>
        </w:rPr>
      </w:pPr>
      <w:r w:rsidRPr="008C505C">
        <w:rPr>
          <w:i/>
        </w:rPr>
        <w:t>(1) Směrnice Rady 91/477/EHS(3) zavedla doprovodné opatření k vnitřnímu trhu. Vytvořila rovnováhu mezi závazkem zajistit určitou volnost pohybu pro některé palné zbraně a jejich hlavní části v Unii na jedné straně a nutností kontroly této volnosti prostřednictvím určitých bezpečnostních záruk vhodných pro tyto výrobky na straně druhé.</w:t>
      </w:r>
    </w:p>
    <w:p w:rsidR="008C505C" w:rsidRPr="008C505C" w:rsidRDefault="008C505C" w:rsidP="00AE3476">
      <w:pPr>
        <w:shd w:val="clear" w:color="auto" w:fill="D9D9D9" w:themeFill="background1" w:themeFillShade="D9"/>
        <w:jc w:val="both"/>
        <w:rPr>
          <w:i/>
        </w:rPr>
      </w:pPr>
      <w:r w:rsidRPr="008C505C">
        <w:rPr>
          <w:i/>
        </w:rPr>
        <w:t>(2) Některé aspekty směrnice 91/477/EHS je třeba přiměřeným způsobem dále zlepšit s cílem zamezit zneužívání palných zbraní pro trestnou činnost a s ohledem na nedávné teroristické činy. V t</w:t>
      </w:r>
      <w:r w:rsidRPr="008C505C">
        <w:rPr>
          <w:rFonts w:ascii="Calibri" w:hAnsi="Calibri" w:cs="Calibri"/>
          <w:i/>
        </w:rPr>
        <w:t>é</w:t>
      </w:r>
      <w:r w:rsidRPr="008C505C">
        <w:rPr>
          <w:i/>
        </w:rPr>
        <w:t>to souvislosti vyzvala Komise ve sv</w:t>
      </w:r>
      <w:r w:rsidRPr="008C505C">
        <w:rPr>
          <w:rFonts w:ascii="Calibri" w:hAnsi="Calibri" w:cs="Calibri"/>
          <w:i/>
        </w:rPr>
        <w:t>é</w:t>
      </w:r>
      <w:r w:rsidRPr="008C505C">
        <w:rPr>
          <w:i/>
        </w:rPr>
        <w:t>m sd</w:t>
      </w:r>
      <w:r w:rsidRPr="008C505C">
        <w:rPr>
          <w:rFonts w:ascii="Calibri" w:hAnsi="Calibri" w:cs="Calibri"/>
          <w:i/>
        </w:rPr>
        <w:t>ě</w:t>
      </w:r>
      <w:r w:rsidRPr="008C505C">
        <w:rPr>
          <w:i/>
        </w:rPr>
        <w:t>len</w:t>
      </w:r>
      <w:r w:rsidRPr="008C505C">
        <w:rPr>
          <w:rFonts w:ascii="Calibri" w:hAnsi="Calibri" w:cs="Calibri"/>
          <w:i/>
        </w:rPr>
        <w:t>í</w:t>
      </w:r>
      <w:r w:rsidRPr="008C505C">
        <w:rPr>
          <w:i/>
        </w:rPr>
        <w:t xml:space="preserve"> ze dne 28. dubna 2015 o Evropsk</w:t>
      </w:r>
      <w:r w:rsidRPr="008C505C">
        <w:rPr>
          <w:rFonts w:ascii="Calibri" w:hAnsi="Calibri" w:cs="Calibri"/>
          <w:i/>
        </w:rPr>
        <w:t>é</w:t>
      </w:r>
      <w:r w:rsidRPr="008C505C">
        <w:rPr>
          <w:i/>
        </w:rPr>
        <w:t>m programu pro bezpe</w:t>
      </w:r>
      <w:r w:rsidRPr="008C505C">
        <w:rPr>
          <w:rFonts w:ascii="Calibri" w:hAnsi="Calibri" w:cs="Calibri"/>
          <w:i/>
        </w:rPr>
        <w:t>č</w:t>
      </w:r>
      <w:r w:rsidRPr="008C505C">
        <w:rPr>
          <w:i/>
        </w:rPr>
        <w:t>nost k revizi uveden</w:t>
      </w:r>
      <w:r w:rsidRPr="008C505C">
        <w:rPr>
          <w:rFonts w:ascii="Calibri" w:hAnsi="Calibri" w:cs="Calibri"/>
          <w:i/>
        </w:rPr>
        <w:t>é</w:t>
      </w:r>
      <w:r w:rsidRPr="008C505C">
        <w:rPr>
          <w:i/>
        </w:rPr>
        <w:t xml:space="preserve"> sm</w:t>
      </w:r>
      <w:r w:rsidRPr="008C505C">
        <w:rPr>
          <w:rFonts w:ascii="Calibri" w:hAnsi="Calibri" w:cs="Calibri"/>
          <w:i/>
        </w:rPr>
        <w:t>ě</w:t>
      </w:r>
      <w:r w:rsidRPr="008C505C">
        <w:rPr>
          <w:i/>
        </w:rPr>
        <w:t>rnice a ke spole</w:t>
      </w:r>
      <w:r w:rsidRPr="008C505C">
        <w:rPr>
          <w:rFonts w:ascii="Calibri" w:hAnsi="Calibri" w:cs="Calibri"/>
          <w:i/>
        </w:rPr>
        <w:t>č</w:t>
      </w:r>
      <w:r w:rsidRPr="008C505C">
        <w:rPr>
          <w:i/>
        </w:rPr>
        <w:t>n</w:t>
      </w:r>
      <w:r w:rsidRPr="008C505C">
        <w:rPr>
          <w:rFonts w:ascii="Calibri" w:hAnsi="Calibri" w:cs="Calibri"/>
          <w:i/>
        </w:rPr>
        <w:t>é</w:t>
      </w:r>
      <w:r w:rsidRPr="008C505C">
        <w:rPr>
          <w:i/>
        </w:rPr>
        <w:t>mu p</w:t>
      </w:r>
      <w:r w:rsidRPr="008C505C">
        <w:rPr>
          <w:rFonts w:ascii="Calibri" w:hAnsi="Calibri" w:cs="Calibri"/>
          <w:i/>
        </w:rPr>
        <w:t>ří</w:t>
      </w:r>
      <w:r w:rsidRPr="008C505C">
        <w:rPr>
          <w:i/>
        </w:rPr>
        <w:t>stupu ke znehodnocov</w:t>
      </w:r>
      <w:r w:rsidRPr="008C505C">
        <w:rPr>
          <w:rFonts w:ascii="Calibri" w:hAnsi="Calibri" w:cs="Calibri"/>
          <w:i/>
        </w:rPr>
        <w:t>á</w:t>
      </w:r>
      <w:r w:rsidRPr="008C505C">
        <w:rPr>
          <w:i/>
        </w:rPr>
        <w:t>ní palných zbraní, aby se zabránilo uschopnění znehodnocených palných zbraní ke střelbě a jejich využití pachateli trestné činnosti.</w:t>
      </w:r>
    </w:p>
    <w:p w:rsidR="008C505C" w:rsidRPr="008C505C" w:rsidRDefault="008C505C" w:rsidP="00AE3476">
      <w:pPr>
        <w:shd w:val="clear" w:color="auto" w:fill="D9D9D9" w:themeFill="background1" w:themeFillShade="D9"/>
        <w:jc w:val="both"/>
        <w:rPr>
          <w:i/>
        </w:rPr>
      </w:pPr>
      <w:r w:rsidRPr="008C505C">
        <w:rPr>
          <w:i/>
        </w:rPr>
        <w:t>(3) Jsou-li palné zbraně zákonně nabyty a drženy v souladu se směrnicí 91/477/EHS, měly by se použít vnitrostátní předpisy týkající se nošení zbraní, lovu nebo sportovní střelby.</w:t>
      </w:r>
    </w:p>
    <w:p w:rsidR="008C505C" w:rsidRPr="008C505C" w:rsidRDefault="008C505C" w:rsidP="00AE3476">
      <w:pPr>
        <w:shd w:val="clear" w:color="auto" w:fill="D9D9D9" w:themeFill="background1" w:themeFillShade="D9"/>
        <w:jc w:val="both"/>
        <w:rPr>
          <w:i/>
        </w:rPr>
      </w:pPr>
      <w:r w:rsidRPr="008C505C">
        <w:rPr>
          <w:i/>
        </w:rPr>
        <w:t>(4) Pro účely směrnice 91/477/EHS by se měla definice zprostředkovatele vztahovat na jakoukoli fyzickou či právnickou osobu, včetně partnerství, a pojem „dodávka“ by měl být chápán tak, že zahrnuje zapůjčení a leasing. Jelikož zprostředkovatelé poskytují služby podobné těm, které poskytují podnikatelé v oboru zbraní, měla by se na ně sm</w:t>
      </w:r>
      <w:r w:rsidRPr="008C505C">
        <w:rPr>
          <w:rFonts w:ascii="Calibri" w:hAnsi="Calibri" w:cs="Calibri"/>
          <w:i/>
        </w:rPr>
        <w:t>ě</w:t>
      </w:r>
      <w:r w:rsidRPr="008C505C">
        <w:rPr>
          <w:i/>
        </w:rPr>
        <w:t>rnice 91/477/EHS rovn</w:t>
      </w:r>
      <w:r w:rsidRPr="008C505C">
        <w:rPr>
          <w:rFonts w:ascii="Calibri" w:hAnsi="Calibri" w:cs="Calibri"/>
          <w:i/>
        </w:rPr>
        <w:t>ěž</w:t>
      </w:r>
      <w:r w:rsidRPr="008C505C">
        <w:rPr>
          <w:i/>
        </w:rPr>
        <w:t xml:space="preserve"> vztahovat, pokud jde o povinnosti podnikatel</w:t>
      </w:r>
      <w:r w:rsidRPr="008C505C">
        <w:rPr>
          <w:rFonts w:ascii="Calibri" w:hAnsi="Calibri" w:cs="Calibri"/>
          <w:i/>
        </w:rPr>
        <w:t>ů</w:t>
      </w:r>
      <w:r w:rsidRPr="008C505C">
        <w:rPr>
          <w:i/>
        </w:rPr>
        <w:t xml:space="preserve"> v oboru zbran</w:t>
      </w:r>
      <w:r w:rsidRPr="008C505C">
        <w:rPr>
          <w:rFonts w:ascii="Calibri" w:hAnsi="Calibri" w:cs="Calibri"/>
          <w:i/>
        </w:rPr>
        <w:t>í</w:t>
      </w:r>
      <w:r w:rsidRPr="008C505C">
        <w:rPr>
          <w:i/>
        </w:rPr>
        <w:t>, kter</w:t>
      </w:r>
      <w:r w:rsidRPr="008C505C">
        <w:rPr>
          <w:rFonts w:ascii="Calibri" w:hAnsi="Calibri" w:cs="Calibri"/>
          <w:i/>
        </w:rPr>
        <w:t>é</w:t>
      </w:r>
      <w:r w:rsidRPr="008C505C">
        <w:rPr>
          <w:i/>
        </w:rPr>
        <w:t xml:space="preserve"> se t</w:t>
      </w:r>
      <w:r w:rsidRPr="008C505C">
        <w:rPr>
          <w:rFonts w:ascii="Calibri" w:hAnsi="Calibri" w:cs="Calibri"/>
          <w:i/>
        </w:rPr>
        <w:t>ý</w:t>
      </w:r>
      <w:r w:rsidRPr="008C505C">
        <w:rPr>
          <w:i/>
        </w:rPr>
        <w:t>kaj</w:t>
      </w:r>
      <w:r w:rsidRPr="008C505C">
        <w:rPr>
          <w:rFonts w:ascii="Calibri" w:hAnsi="Calibri" w:cs="Calibri"/>
          <w:i/>
        </w:rPr>
        <w:t>í</w:t>
      </w:r>
      <w:r w:rsidRPr="008C505C">
        <w:rPr>
          <w:i/>
        </w:rPr>
        <w:t xml:space="preserve"> </w:t>
      </w:r>
      <w:r w:rsidRPr="008C505C">
        <w:rPr>
          <w:rFonts w:ascii="Calibri" w:hAnsi="Calibri" w:cs="Calibri"/>
          <w:i/>
        </w:rPr>
        <w:t>č</w:t>
      </w:r>
      <w:r w:rsidRPr="008C505C">
        <w:rPr>
          <w:i/>
        </w:rPr>
        <w:t>inností zprostředkovatelů, a to v míře, do níž jsou schopni tyto povinnosti plnit, a pokud pro stejnou transakci neplní tyto povinnosti podnikatel v oboru zbraní.</w:t>
      </w:r>
    </w:p>
    <w:p w:rsidR="008C505C" w:rsidRPr="008C505C" w:rsidRDefault="008C505C" w:rsidP="00AE3476">
      <w:pPr>
        <w:shd w:val="clear" w:color="auto" w:fill="D9D9D9" w:themeFill="background1" w:themeFillShade="D9"/>
        <w:jc w:val="both"/>
        <w:rPr>
          <w:i/>
        </w:rPr>
      </w:pPr>
      <w:r w:rsidRPr="008C505C">
        <w:rPr>
          <w:i/>
        </w:rPr>
        <w:lastRenderedPageBreak/>
        <w:t>(5) Činnosti podnikatele v oboru zbraní zahrnují nejen výrobu, ale i úpravy nebo přeměnu palných zbraní, jejich hlavních částí a střeliva, jako je například zkrácení kompletní palné zbraně, které vedou ke změně jejich kategorie nebo podkategorie. Ryze soukromé, nekomerční činnosti, jako například ruční nabíjení a přebíjení střeliva z komponentů střeliva pro vlastní potřebu nebo úpravy palných zbraní nebo jejich hlavních částí vlastněných dotčenou osobou, jako jsou změny pažby či mířidel nebo údržba kvůli opotřebení hlavních částí, by se neměly považovat za činnosti, k jejichž provedení by měl být oprávněn pouze podnikatel v oboru zbraní.</w:t>
      </w:r>
    </w:p>
    <w:p w:rsidR="008C505C" w:rsidRPr="008C505C" w:rsidRDefault="008C505C" w:rsidP="00AE3476">
      <w:pPr>
        <w:shd w:val="clear" w:color="auto" w:fill="D9D9D9" w:themeFill="background1" w:themeFillShade="D9"/>
        <w:jc w:val="both"/>
        <w:rPr>
          <w:i/>
        </w:rPr>
      </w:pPr>
      <w:r w:rsidRPr="008C505C">
        <w:rPr>
          <w:i/>
        </w:rPr>
        <w:t>(6) Aby byla zvýšena sledovatelnost všech palných zbraní a jejich hlavních částí a aby byl usnadněn jejich volný pohyb, měly by nést všechny palné zbraně a jejich hlavní části jasné, trvalé a jedinečné označení a být registrovány v systémech evidence údajů členských států.</w:t>
      </w:r>
    </w:p>
    <w:p w:rsidR="008C505C" w:rsidRPr="008C505C" w:rsidRDefault="008C505C" w:rsidP="00AE3476">
      <w:pPr>
        <w:shd w:val="clear" w:color="auto" w:fill="D9D9D9" w:themeFill="background1" w:themeFillShade="D9"/>
        <w:jc w:val="both"/>
        <w:rPr>
          <w:i/>
        </w:rPr>
      </w:pPr>
      <w:r w:rsidRPr="008C505C">
        <w:rPr>
          <w:i/>
        </w:rPr>
        <w:t>(7) Záznamy vedené v systémech evidence údajů by měly obsahovat veškeré informace umožňující přiřadit palnou zbraň k jejímu majiteli a měly by obsahovat jméno výrobce nebo značku, zemi nebo místo výroby, druh, značku výrobce, model, ráži a sériové číslo palné zbraně nebo jakékoli jedinečné označení připevněné na rám nebo pouzdro závěru palné zbraně. Hlavní části jiné než rám nebo pouzdro závěru by měly být zaznamenány v systémech evidence údajů v rámci záznamu týkajícího se palné zbraně, k níž patří.</w:t>
      </w:r>
    </w:p>
    <w:p w:rsidR="008C505C" w:rsidRPr="008C505C" w:rsidRDefault="008C505C" w:rsidP="00AE3476">
      <w:pPr>
        <w:shd w:val="clear" w:color="auto" w:fill="D9D9D9" w:themeFill="background1" w:themeFillShade="D9"/>
        <w:jc w:val="both"/>
        <w:rPr>
          <w:i/>
        </w:rPr>
      </w:pPr>
      <w:r w:rsidRPr="008C505C">
        <w:rPr>
          <w:i/>
        </w:rPr>
        <w:t>(8)  Aby se zabránilo snadnému odstranění označení a aby se objasnilo, které hlavní části by měly být označením opatřeny, měla by být zavedena společná pravidla Unie týkající se označování. Tato pravidla by měla platit pouze pro palné zbraně nebo jejich hlavní části, které jsou vyrobeny nebo dovezeny do Unie dne ... [15 měsíců po vstupu této pozměňující směrnice v platnost] nebo později, a to při uvádění na trh, zatímco na palné zbraně a součásti vyrobené nebo dovezené do Unie před tímto datem by se měly nadále vztahovat požadavky na označování a registraci podle směrnice 91/477/EHS, které platí až do uvedeného data.</w:t>
      </w:r>
    </w:p>
    <w:p w:rsidR="008C505C" w:rsidRPr="008C505C" w:rsidRDefault="008C505C" w:rsidP="00AE3476">
      <w:pPr>
        <w:shd w:val="clear" w:color="auto" w:fill="D9D9D9" w:themeFill="background1" w:themeFillShade="D9"/>
        <w:jc w:val="both"/>
        <w:rPr>
          <w:i/>
        </w:rPr>
      </w:pPr>
      <w:r w:rsidRPr="008C505C">
        <w:rPr>
          <w:i/>
        </w:rPr>
        <w:t>(9) Vzhledem k nebezpečné povaze a dlouhé životnosti palných zbraní a jejich hlavních částí a s cílem zajistit, aby byly příslušné orgány schopny sledovat palné zbraně a jejich hlavní části pro účely správního a trestního řízení, a vzhledem k vnitrostátním procesním právním předpisům je nezbytné, aby byly záznamy v systémech evidence údajů uchovávány po dobu 30 let od zničení příslušných palných zbraní a jejich hlavních částí. Přístup k těmto záznamům a všem souvisejícím osobním údajům by měly mít pouze příslušné orgány a měl by být povolen pouze po dobu nejvýše deseti let po zničení příslušné palné zbraně nebo jejich hlavní části pro účely udělení nebo odnětí povolení nebo pro celní řízení, včetně možného uložení správních sankcí, a do 30 let po zničení příslušné palné zbraně nebo jejich hlavní části, pokud je přístup nutný pro vymáhání trestního práva.</w:t>
      </w:r>
    </w:p>
    <w:p w:rsidR="008C505C" w:rsidRPr="008C505C" w:rsidRDefault="008C505C" w:rsidP="00AE3476">
      <w:pPr>
        <w:shd w:val="clear" w:color="auto" w:fill="D9D9D9" w:themeFill="background1" w:themeFillShade="D9"/>
        <w:jc w:val="both"/>
        <w:rPr>
          <w:i/>
        </w:rPr>
      </w:pPr>
      <w:r w:rsidRPr="008C505C">
        <w:rPr>
          <w:i/>
        </w:rPr>
        <w:t>(10) Efektivní sdílení informací mezi podnikateli v oboru zbraní a zprostředkovateli na jedné straně a příslušnými vnitrostátními orgány na straně druhé je důležité pro účinné fungování systémů evidence údajů. Podnikatelé v oboru zbraní a zprostředkovatelé by proto měli bez zbytečného odkladu podávat informace příslušným vnitrostátním orgánům. S cílem usnadnit podávání informací by měly příslušné vnitrostátní orgány zavést elektronické spojení přístupné pro podnikatele v oboru zbraní a zprostředkovatele, které může zahrnovat podání uvedených informací prostřednictvím e-mailu nebo přímo prostřednictvím databáze nebo jiného registru.</w:t>
      </w:r>
    </w:p>
    <w:p w:rsidR="008C505C" w:rsidRPr="008C505C" w:rsidRDefault="008C505C" w:rsidP="00AE3476">
      <w:pPr>
        <w:shd w:val="clear" w:color="auto" w:fill="D9D9D9" w:themeFill="background1" w:themeFillShade="D9"/>
        <w:jc w:val="both"/>
        <w:rPr>
          <w:i/>
        </w:rPr>
      </w:pPr>
      <w:r w:rsidRPr="008C505C">
        <w:rPr>
          <w:i/>
        </w:rPr>
        <w:lastRenderedPageBreak/>
        <w:t>(11) Pokud jde o povinnost členských států mít zaveden monitorovací systém, aby bylo zajištěno plnění podmínek pro povolení týkající se palných zbraní po celou dobu jeho trvání, měly by členské státy rozhodnout, zda má posouzení zahrnovat předchozí zdravotní či psychologické vyšetření.</w:t>
      </w:r>
    </w:p>
    <w:p w:rsidR="008C505C" w:rsidRPr="008C505C" w:rsidRDefault="008C505C" w:rsidP="00AE3476">
      <w:pPr>
        <w:shd w:val="clear" w:color="auto" w:fill="D9D9D9" w:themeFill="background1" w:themeFillShade="D9"/>
        <w:jc w:val="both"/>
        <w:rPr>
          <w:i/>
        </w:rPr>
      </w:pPr>
      <w:r w:rsidRPr="008C505C">
        <w:rPr>
          <w:i/>
        </w:rPr>
        <w:t>(12) Aniž je dotčeno vnitrostátní právo upravující profesní odpovědnost, mělo by se předpokládat, že posouzení příslušných lékařských nebo psychologických údajů odborným lékařským personálem nebo jinými osobami, které poskytují tyto informace, s sebou pro ně nenese žádnou odpovědnost v případě zneužití palných zbraní držených v souladu se směrnicí 91/477/EHS.</w:t>
      </w:r>
    </w:p>
    <w:p w:rsidR="008C505C" w:rsidRPr="008C505C" w:rsidRDefault="008C505C" w:rsidP="00AE3476">
      <w:pPr>
        <w:shd w:val="clear" w:color="auto" w:fill="D9D9D9" w:themeFill="background1" w:themeFillShade="D9"/>
        <w:jc w:val="both"/>
        <w:rPr>
          <w:i/>
        </w:rPr>
      </w:pPr>
      <w:r w:rsidRPr="008C505C">
        <w:rPr>
          <w:i/>
        </w:rPr>
        <w:t>(13) Pokud nejsou palné zbraně a střelivo bezprostředně pod dohledem, měly by být skladovány bezpečným způsobem. Jsou-li palné zbraně a střelivo skladovány jinde než v trezoru, měly by být skladovány odděleně. Mají-li být palná zbraň a střelivo předány dopravci k přepravě, měl by být za řádný dohled a skladování odpovědný tento dopravce. Kritéria pro náležité skladování a pro bezpečnou přepravu by měla být vymezena vnitrostátním právem, s přihlédnutím k množství a kategorii dotčených palných zbraní a střeliva.</w:t>
      </w:r>
    </w:p>
    <w:p w:rsidR="008C505C" w:rsidRPr="008C505C" w:rsidRDefault="008C505C" w:rsidP="00AE3476">
      <w:pPr>
        <w:shd w:val="clear" w:color="auto" w:fill="D9D9D9" w:themeFill="background1" w:themeFillShade="D9"/>
        <w:jc w:val="both"/>
        <w:rPr>
          <w:i/>
        </w:rPr>
      </w:pPr>
      <w:r w:rsidRPr="008C505C">
        <w:rPr>
          <w:i/>
        </w:rPr>
        <w:t>(14)  Směrnice 91/477/EHS by neměla mít vliv na pravidla členských států, která povolují, aby zákonné transakce týkající se palných zbraní, jejich hlavních částí a střeliva probíhaly prostřednictvím zásilkového prodeje, internetu nebo smluv uzavřených na dálku ve smyslu směrnice Evropského parlamentu a Rady 2011/83/EU, například formou aukčních katalogů online nebo inzerátů, telefonu nebo e-mailu. Je však nezbytné, aby bylo možné ověřovat totožnost účastníků takových transakcí a jejich zákonné oprávnění tyto transakce provádět a aby toto ověřování skutečně probíhalo. V případě kupujících je proto vhodné zajistit, aby jejich totožnost a případně jejich povolení k nabytí palné zbraně, její hlavní části nebo střeliva ověřil před dodáním nebo nejpozději v okamžiku dodání podnikatel v oboru zbraní či zprostředkovatel s licencí či povolením nebo orgán veřejné moci či zástupce tohoto orgánu.</w:t>
      </w:r>
    </w:p>
    <w:p w:rsidR="008C505C" w:rsidRPr="008C505C" w:rsidRDefault="008C505C" w:rsidP="00AE3476">
      <w:pPr>
        <w:shd w:val="clear" w:color="auto" w:fill="D9D9D9" w:themeFill="background1" w:themeFillShade="D9"/>
        <w:jc w:val="both"/>
        <w:rPr>
          <w:i/>
        </w:rPr>
      </w:pPr>
      <w:r w:rsidRPr="008C505C">
        <w:rPr>
          <w:i/>
        </w:rPr>
        <w:t>(15) Pro nejnebezpečnější palné zbraně by měla být ve směrnici 91/477/EHS stanovena přísnější pravidla, aby kromě některých omezených a náležitě odůvodněných výjimek nebylo možné tyto palné zbraně nabývat, držet ani s nimi obchodovat. Členské státy by měly v případě porušení těchto pravidel přijmout vhodná opatření, která by mohla zahrnovat zabavení uvedených palných zbraní.</w:t>
      </w:r>
    </w:p>
    <w:p w:rsidR="008C505C" w:rsidRPr="008C505C" w:rsidRDefault="008C505C" w:rsidP="00AE3476">
      <w:pPr>
        <w:shd w:val="clear" w:color="auto" w:fill="D9D9D9" w:themeFill="background1" w:themeFillShade="D9"/>
        <w:jc w:val="both"/>
        <w:rPr>
          <w:i/>
        </w:rPr>
      </w:pPr>
      <w:r w:rsidRPr="008C505C">
        <w:rPr>
          <w:i/>
        </w:rPr>
        <w:t>(16) Členské státy by však měly mít možnost povolovat nabývání a držení zakázaných palných zbraní, hlavních částí a střeliva zařazených do kategorie A, pokud je to nutné ke vzdělávacím a kulturním účelům, včetně filmu a divadla, a i k výzkumným nebo historickým účelům. Takové povolení mohou mimo jiné získat zbrojíři, zkušebny palných zbraní, výrobci, certifikovaní odborníci, forenzní vědečtí pracovníci a v některých případech osoby podílející se na výrobě filmových nebo televizních záznamů. Členské státy by měly mít rovněž možnost povolit jednotlivcům nabývat a držet jinak zakázané palné zbraně, jejich hlavní části a střelivo zařazené do kategorie A za účelem národní obrany, jako například v rámci dobrovolného vojenského výcviku poskytovaného podle vnitrostátního práva.</w:t>
      </w:r>
    </w:p>
    <w:p w:rsidR="008C505C" w:rsidRPr="008C505C" w:rsidRDefault="008C505C" w:rsidP="00AE3476">
      <w:pPr>
        <w:shd w:val="clear" w:color="auto" w:fill="D9D9D9" w:themeFill="background1" w:themeFillShade="D9"/>
        <w:jc w:val="both"/>
        <w:rPr>
          <w:i/>
        </w:rPr>
      </w:pPr>
      <w:r w:rsidRPr="008C505C">
        <w:rPr>
          <w:i/>
        </w:rPr>
        <w:t xml:space="preserve">(17) Členské státy by měly mít možnost udělovat v případě potřeby povolení k nabývání a držení zakázaných palných zbraní, jejich hlavních částí a střeliva zařazených do kategorie A uznaným muzeím a sběratelům pro historické, kulturní, vědecké, technické, vzdělávací nebo památkové účely, jestliže tato muzea a tito sběratelé před udělením povolení prokáží, že přijali potřebná opatření, aby zabránili riziku pro veřejnou bezpečnost nebo veřejný pořádek, mimo jiné prostřednictvím náležitého </w:t>
      </w:r>
      <w:r w:rsidRPr="008C505C">
        <w:rPr>
          <w:i/>
        </w:rPr>
        <w:lastRenderedPageBreak/>
        <w:t>skladování. Každé takové povolení by mělo zohledňovat a odrážet konkrétní situaci, včetně povahy sbírky a jejího účelu, a členské státy by měly mít zaveden systém pro monitorování sběratelů a sbírek.</w:t>
      </w:r>
    </w:p>
    <w:p w:rsidR="008C505C" w:rsidRPr="008C505C" w:rsidRDefault="008C505C" w:rsidP="00AE3476">
      <w:pPr>
        <w:shd w:val="clear" w:color="auto" w:fill="D9D9D9" w:themeFill="background1" w:themeFillShade="D9"/>
        <w:jc w:val="both"/>
        <w:rPr>
          <w:i/>
        </w:rPr>
      </w:pPr>
      <w:r w:rsidRPr="008C505C">
        <w:rPr>
          <w:i/>
        </w:rPr>
        <w:t>(18) Podnikatelům v oboru zbraní a zprostředkovatelům by nemělo být bráněno v nakládání s palnými zbraněmi, jejich hlavními částmi a střelivem zařazenými do kategorie A, pokud je nabytí a držení těchto palných zbraní, jejich hlavních částí a střeliva výjimečně povoleno, v případech, kdy je takové nakládání nutné pro účely znehodnocení nebo přeměny, nebo v jiných případech povolených v souladu se směrnicí 91/477/EHS ve znění této směrnice. Rovněž by podnikatelům v oboru zbraní a zprostředkovatelům nemělo být bráněno v nakládání s těmito zbraněmi, jejich hlavními částmi a střelivem v případech, které směrnice 91/477/EHS ve znění této směrnice neupravuje, jako jsou palné zbraně, jejich hlavní části a střelivo určené k vývozu mimo Unii nebo zbraně určené ozbrojeným silám, policii nebo orgánům veřejné moci</w:t>
      </w:r>
    </w:p>
    <w:p w:rsidR="008C505C" w:rsidRPr="008C505C" w:rsidRDefault="008C505C" w:rsidP="00AE3476">
      <w:pPr>
        <w:shd w:val="clear" w:color="auto" w:fill="D9D9D9" w:themeFill="background1" w:themeFillShade="D9"/>
        <w:jc w:val="both"/>
        <w:rPr>
          <w:i/>
        </w:rPr>
      </w:pPr>
      <w:r w:rsidRPr="008C505C">
        <w:rPr>
          <w:i/>
        </w:rPr>
        <w:t>(19) Podnikatelé v oboru zbraní a zprostředkovatelé by měli mít možnost odmítnout provést jakoukoli podezřelou transakci, jejímž účelem je nabytí kompletních nábojů nebo komponentů střeliva se zalaborovanou zápalkou. Transakci lze považovat za podezřelou, pokud se například jedná o neobvyklé množství pro zamýšlené soukromé použití, kupující zjevně není obeznámen s používáním střeliva nebo trvá na úhradě v hotovosti, přičemž není ochoten prokázat svou totožnost. Podnikatelé v oboru zbraní a zprostředkovatelé by měli mít také možnost ohlásit takové podezřelé transakce příslušným orgánům.</w:t>
      </w:r>
    </w:p>
    <w:p w:rsidR="008C505C" w:rsidRPr="008C505C" w:rsidRDefault="008C505C" w:rsidP="00AE3476">
      <w:pPr>
        <w:shd w:val="clear" w:color="auto" w:fill="D9D9D9" w:themeFill="background1" w:themeFillShade="D9"/>
        <w:jc w:val="both"/>
        <w:rPr>
          <w:i/>
        </w:rPr>
      </w:pPr>
      <w:r w:rsidRPr="008C505C">
        <w:rPr>
          <w:i/>
        </w:rPr>
        <w:t>(20) Riziko p</w:t>
      </w:r>
      <w:r w:rsidRPr="008C505C">
        <w:rPr>
          <w:rFonts w:ascii="Calibri" w:hAnsi="Calibri" w:cs="Calibri"/>
          <w:i/>
        </w:rPr>
        <w:t>ř</w:t>
      </w:r>
      <w:r w:rsidRPr="008C505C">
        <w:rPr>
          <w:i/>
        </w:rPr>
        <w:t>em</w:t>
      </w:r>
      <w:r w:rsidRPr="008C505C">
        <w:rPr>
          <w:rFonts w:ascii="Calibri" w:hAnsi="Calibri" w:cs="Calibri"/>
          <w:i/>
        </w:rPr>
        <w:t>ě</w:t>
      </w:r>
      <w:r w:rsidRPr="008C505C">
        <w:rPr>
          <w:i/>
        </w:rPr>
        <w:t>ny akustick</w:t>
      </w:r>
      <w:r w:rsidRPr="008C505C">
        <w:rPr>
          <w:rFonts w:ascii="Calibri" w:hAnsi="Calibri" w:cs="Calibri"/>
          <w:i/>
        </w:rPr>
        <w:t>ý</w:t>
      </w:r>
      <w:r w:rsidRPr="008C505C">
        <w:rPr>
          <w:i/>
        </w:rPr>
        <w:t>ch zbran</w:t>
      </w:r>
      <w:r w:rsidRPr="008C505C">
        <w:rPr>
          <w:rFonts w:ascii="Calibri" w:hAnsi="Calibri" w:cs="Calibri"/>
          <w:i/>
        </w:rPr>
        <w:t>í</w:t>
      </w:r>
      <w:r w:rsidRPr="008C505C">
        <w:rPr>
          <w:i/>
        </w:rPr>
        <w:t xml:space="preserve"> a dal</w:t>
      </w:r>
      <w:r w:rsidRPr="008C505C">
        <w:rPr>
          <w:rFonts w:ascii="Calibri" w:hAnsi="Calibri" w:cs="Calibri"/>
          <w:i/>
        </w:rPr>
        <w:t>ší</w:t>
      </w:r>
      <w:r w:rsidRPr="008C505C">
        <w:rPr>
          <w:i/>
        </w:rPr>
        <w:t>ch druh</w:t>
      </w:r>
      <w:r w:rsidRPr="008C505C">
        <w:rPr>
          <w:rFonts w:ascii="Calibri" w:hAnsi="Calibri" w:cs="Calibri"/>
          <w:i/>
        </w:rPr>
        <w:t>ů</w:t>
      </w:r>
      <w:r w:rsidRPr="008C505C">
        <w:rPr>
          <w:i/>
        </w:rPr>
        <w:t xml:space="preserve"> zbran</w:t>
      </w:r>
      <w:r w:rsidRPr="008C505C">
        <w:rPr>
          <w:rFonts w:ascii="Calibri" w:hAnsi="Calibri" w:cs="Calibri"/>
          <w:i/>
        </w:rPr>
        <w:t>í</w:t>
      </w:r>
      <w:r w:rsidRPr="008C505C">
        <w:rPr>
          <w:i/>
        </w:rPr>
        <w:t xml:space="preserve"> ur</w:t>
      </w:r>
      <w:r w:rsidRPr="008C505C">
        <w:rPr>
          <w:rFonts w:ascii="Calibri" w:hAnsi="Calibri" w:cs="Calibri"/>
          <w:i/>
        </w:rPr>
        <w:t>č</w:t>
      </w:r>
      <w:r w:rsidRPr="008C505C">
        <w:rPr>
          <w:i/>
        </w:rPr>
        <w:t>en</w:t>
      </w:r>
      <w:r w:rsidRPr="008C505C">
        <w:rPr>
          <w:rFonts w:ascii="Calibri" w:hAnsi="Calibri" w:cs="Calibri"/>
          <w:i/>
        </w:rPr>
        <w:t>ý</w:t>
      </w:r>
      <w:r w:rsidRPr="008C505C">
        <w:rPr>
          <w:i/>
        </w:rPr>
        <w:t>ch ke st</w:t>
      </w:r>
      <w:r w:rsidRPr="008C505C">
        <w:rPr>
          <w:rFonts w:ascii="Calibri" w:hAnsi="Calibri" w:cs="Calibri"/>
          <w:i/>
        </w:rPr>
        <w:t>ř</w:t>
      </w:r>
      <w:r w:rsidRPr="008C505C">
        <w:rPr>
          <w:i/>
        </w:rPr>
        <w:t>elb</w:t>
      </w:r>
      <w:r w:rsidRPr="008C505C">
        <w:rPr>
          <w:rFonts w:ascii="Calibri" w:hAnsi="Calibri" w:cs="Calibri"/>
          <w:i/>
        </w:rPr>
        <w:t>ě</w:t>
      </w:r>
      <w:r w:rsidRPr="008C505C">
        <w:rPr>
          <w:i/>
        </w:rPr>
        <w:t xml:space="preserve"> n</w:t>
      </w:r>
      <w:r w:rsidRPr="008C505C">
        <w:rPr>
          <w:rFonts w:ascii="Calibri" w:hAnsi="Calibri" w:cs="Calibri"/>
          <w:i/>
        </w:rPr>
        <w:t>á</w:t>
      </w:r>
      <w:r w:rsidRPr="008C505C">
        <w:rPr>
          <w:i/>
        </w:rPr>
        <w:t>bojkami nebo cvi</w:t>
      </w:r>
      <w:r w:rsidRPr="008C505C">
        <w:rPr>
          <w:rFonts w:ascii="Calibri" w:hAnsi="Calibri" w:cs="Calibri"/>
          <w:i/>
        </w:rPr>
        <w:t>č</w:t>
      </w:r>
      <w:r w:rsidRPr="008C505C">
        <w:rPr>
          <w:i/>
        </w:rPr>
        <w:t>n</w:t>
      </w:r>
      <w:r w:rsidRPr="008C505C">
        <w:rPr>
          <w:rFonts w:ascii="Calibri" w:hAnsi="Calibri" w:cs="Calibri"/>
          <w:i/>
        </w:rPr>
        <w:t>ý</w:t>
      </w:r>
      <w:r w:rsidRPr="008C505C">
        <w:rPr>
          <w:i/>
        </w:rPr>
        <w:t>mi n</w:t>
      </w:r>
      <w:r w:rsidRPr="008C505C">
        <w:rPr>
          <w:rFonts w:ascii="Calibri" w:hAnsi="Calibri" w:cs="Calibri"/>
          <w:i/>
        </w:rPr>
        <w:t>á</w:t>
      </w:r>
      <w:r w:rsidRPr="008C505C">
        <w:rPr>
          <w:i/>
        </w:rPr>
        <w:t>boji na skute</w:t>
      </w:r>
      <w:r w:rsidRPr="008C505C">
        <w:rPr>
          <w:rFonts w:ascii="Calibri" w:hAnsi="Calibri" w:cs="Calibri"/>
          <w:i/>
        </w:rPr>
        <w:t>č</w:t>
      </w:r>
      <w:r w:rsidRPr="008C505C">
        <w:rPr>
          <w:i/>
        </w:rPr>
        <w:t>n</w:t>
      </w:r>
      <w:r w:rsidRPr="008C505C">
        <w:rPr>
          <w:rFonts w:ascii="Calibri" w:hAnsi="Calibri" w:cs="Calibri"/>
          <w:i/>
        </w:rPr>
        <w:t>é</w:t>
      </w:r>
      <w:r w:rsidRPr="008C505C">
        <w:rPr>
          <w:i/>
        </w:rPr>
        <w:t xml:space="preserve"> paln</w:t>
      </w:r>
      <w:r w:rsidRPr="008C505C">
        <w:rPr>
          <w:rFonts w:ascii="Calibri" w:hAnsi="Calibri" w:cs="Calibri"/>
          <w:i/>
        </w:rPr>
        <w:t>é</w:t>
      </w:r>
      <w:r w:rsidRPr="008C505C">
        <w:rPr>
          <w:i/>
        </w:rPr>
        <w:t xml:space="preserve"> zbran</w:t>
      </w:r>
      <w:r w:rsidRPr="008C505C">
        <w:rPr>
          <w:rFonts w:ascii="Calibri" w:hAnsi="Calibri" w:cs="Calibri"/>
          <w:i/>
        </w:rPr>
        <w:t>ě</w:t>
      </w:r>
      <w:r w:rsidRPr="008C505C">
        <w:rPr>
          <w:i/>
        </w:rPr>
        <w:t xml:space="preserve"> je vysok</w:t>
      </w:r>
      <w:r w:rsidRPr="008C505C">
        <w:rPr>
          <w:rFonts w:ascii="Calibri" w:hAnsi="Calibri" w:cs="Calibri"/>
          <w:i/>
        </w:rPr>
        <w:t>é</w:t>
      </w:r>
      <w:r w:rsidRPr="008C505C">
        <w:rPr>
          <w:i/>
        </w:rPr>
        <w:t>. Proto je nezbytn</w:t>
      </w:r>
      <w:r w:rsidRPr="008C505C">
        <w:rPr>
          <w:rFonts w:ascii="Calibri" w:hAnsi="Calibri" w:cs="Calibri"/>
          <w:i/>
        </w:rPr>
        <w:t>é</w:t>
      </w:r>
      <w:r w:rsidRPr="008C505C">
        <w:rPr>
          <w:i/>
        </w:rPr>
        <w:t xml:space="preserve"> </w:t>
      </w:r>
      <w:r w:rsidRPr="008C505C">
        <w:rPr>
          <w:rFonts w:ascii="Calibri" w:hAnsi="Calibri" w:cs="Calibri"/>
          <w:i/>
        </w:rPr>
        <w:t>ř</w:t>
      </w:r>
      <w:r w:rsidRPr="008C505C">
        <w:rPr>
          <w:i/>
        </w:rPr>
        <w:t>ešit problém, kdy jsou při páchání trestných činů využívány takto přeměněné palné zbraně, a to zejména jejich zahrnutím do působnosti směrnice 91/477/EHS . Aby se navíc zabránilo riziku, že poplašné a signální zbraně budou vyráběny způsobem, který umožňuje jejich přeměnu na zbraně k vystřelování hromadné nebo jednotné střely nebo jiného projektilu působením okamžitého uvolnění chemické energie, měla by Komise přijmout technické specifikace, aby bylo zajištěno, že je nelze tímto způsobem přeměnit.</w:t>
      </w:r>
    </w:p>
    <w:p w:rsidR="008C505C" w:rsidRPr="008C505C" w:rsidRDefault="008C505C" w:rsidP="00AE3476">
      <w:pPr>
        <w:shd w:val="clear" w:color="auto" w:fill="D9D9D9" w:themeFill="background1" w:themeFillShade="D9"/>
        <w:jc w:val="both"/>
        <w:rPr>
          <w:i/>
        </w:rPr>
      </w:pPr>
      <w:r w:rsidRPr="008C505C">
        <w:rPr>
          <w:i/>
        </w:rPr>
        <w:t>(21) Vzhledem k vysokému riziku uschopnění nesprávně znehodnocených palných zbraní ke střelbě a v zájmu zvýšení bezpečnosti v celé Unii, by se měla směrnice 91/477/EHS vztahovat i na takové palné zbraně. Měla by být stanovena definice znehodnocených palných zbraní, která odráží obecné zásady znehodnocování palných zbraní stanovené v Protokolu proti nedovolené výrobě střelných zbraní a jejich součástí, dílů a střeliva a obchodování s nimi, který je připojen k rozhodnutí Rady 2014/164/EU, jímž se tento protokol provádí do právního rámce Unie.</w:t>
      </w:r>
    </w:p>
    <w:p w:rsidR="008C505C" w:rsidRPr="008C505C" w:rsidRDefault="008C505C" w:rsidP="00AE3476">
      <w:pPr>
        <w:shd w:val="clear" w:color="auto" w:fill="D9D9D9" w:themeFill="background1" w:themeFillShade="D9"/>
        <w:jc w:val="both"/>
        <w:rPr>
          <w:i/>
        </w:rPr>
      </w:pPr>
      <w:r w:rsidRPr="008C505C">
        <w:rPr>
          <w:i/>
        </w:rPr>
        <w:t xml:space="preserve">(22)  </w:t>
      </w:r>
      <w:r w:rsidRPr="008C505C">
        <w:rPr>
          <w:i/>
        </w:rPr>
        <w:tab/>
        <w:t>Palné zbraně určené pro vojenské použití, jako například AK47 a M16, které umožňují volitelný režim střelby a mohou být ručně přepínány na samočinný nebo samonabíjecí režim palby, by měly být zařazeny jako zbraně kategorie A, a proto by měly být pro civilní použití zakázány. V případě jejich přeměny na samonabíjecí zbraně by měly být zařazeny do kategorie A bodu 6.</w:t>
      </w:r>
    </w:p>
    <w:p w:rsidR="008C505C" w:rsidRPr="008C505C" w:rsidRDefault="008C505C" w:rsidP="00AE3476">
      <w:pPr>
        <w:shd w:val="clear" w:color="auto" w:fill="D9D9D9" w:themeFill="background1" w:themeFillShade="D9"/>
        <w:jc w:val="both"/>
        <w:rPr>
          <w:i/>
        </w:rPr>
      </w:pPr>
      <w:r w:rsidRPr="008C505C">
        <w:rPr>
          <w:i/>
        </w:rPr>
        <w:t>(23) Některé samonabíjecí palné zbraně mohou být snadno přeměněny na samočinné palné zbraně, a tím by mohly představovat hrozbu pro bezpečnost. Dokonce i bez takové přeměny by mohly b</w:t>
      </w:r>
      <w:r w:rsidRPr="008C505C">
        <w:rPr>
          <w:rFonts w:ascii="Calibri" w:hAnsi="Calibri" w:cs="Calibri"/>
          <w:i/>
        </w:rPr>
        <w:t>ý</w:t>
      </w:r>
      <w:r w:rsidRPr="008C505C">
        <w:rPr>
          <w:i/>
        </w:rPr>
        <w:t>t n</w:t>
      </w:r>
      <w:r w:rsidRPr="008C505C">
        <w:rPr>
          <w:rFonts w:ascii="Calibri" w:hAnsi="Calibri" w:cs="Calibri"/>
          <w:i/>
        </w:rPr>
        <w:t>ě</w:t>
      </w:r>
      <w:r w:rsidRPr="008C505C">
        <w:rPr>
          <w:i/>
        </w:rPr>
        <w:t>kter</w:t>
      </w:r>
      <w:r w:rsidRPr="008C505C">
        <w:rPr>
          <w:rFonts w:ascii="Calibri" w:hAnsi="Calibri" w:cs="Calibri"/>
          <w:i/>
        </w:rPr>
        <w:t>é</w:t>
      </w:r>
      <w:r w:rsidRPr="008C505C">
        <w:rPr>
          <w:i/>
        </w:rPr>
        <w:t xml:space="preserve"> samonab</w:t>
      </w:r>
      <w:r w:rsidRPr="008C505C">
        <w:rPr>
          <w:rFonts w:ascii="Calibri" w:hAnsi="Calibri" w:cs="Calibri"/>
          <w:i/>
        </w:rPr>
        <w:t>í</w:t>
      </w:r>
      <w:r w:rsidRPr="008C505C">
        <w:rPr>
          <w:i/>
        </w:rPr>
        <w:t>jec</w:t>
      </w:r>
      <w:r w:rsidRPr="008C505C">
        <w:rPr>
          <w:rFonts w:ascii="Calibri" w:hAnsi="Calibri" w:cs="Calibri"/>
          <w:i/>
        </w:rPr>
        <w:t>í</w:t>
      </w:r>
      <w:r w:rsidRPr="008C505C">
        <w:rPr>
          <w:i/>
        </w:rPr>
        <w:t xml:space="preserve"> paln</w:t>
      </w:r>
      <w:r w:rsidRPr="008C505C">
        <w:rPr>
          <w:rFonts w:ascii="Calibri" w:hAnsi="Calibri" w:cs="Calibri"/>
          <w:i/>
        </w:rPr>
        <w:t>é</w:t>
      </w:r>
      <w:r w:rsidRPr="008C505C">
        <w:rPr>
          <w:i/>
        </w:rPr>
        <w:t xml:space="preserve"> zbran</w:t>
      </w:r>
      <w:r w:rsidRPr="008C505C">
        <w:rPr>
          <w:rFonts w:ascii="Calibri" w:hAnsi="Calibri" w:cs="Calibri"/>
          <w:i/>
        </w:rPr>
        <w:t>ě</w:t>
      </w:r>
      <w:r w:rsidRPr="008C505C">
        <w:rPr>
          <w:i/>
        </w:rPr>
        <w:t xml:space="preserve"> velmi nebezpe</w:t>
      </w:r>
      <w:r w:rsidRPr="008C505C">
        <w:rPr>
          <w:rFonts w:ascii="Calibri" w:hAnsi="Calibri" w:cs="Calibri"/>
          <w:i/>
        </w:rPr>
        <w:t>č</w:t>
      </w:r>
      <w:r w:rsidRPr="008C505C">
        <w:rPr>
          <w:i/>
        </w:rPr>
        <w:t>n</w:t>
      </w:r>
      <w:r w:rsidRPr="008C505C">
        <w:rPr>
          <w:rFonts w:ascii="Calibri" w:hAnsi="Calibri" w:cs="Calibri"/>
          <w:i/>
        </w:rPr>
        <w:t>é</w:t>
      </w:r>
      <w:r w:rsidRPr="008C505C">
        <w:rPr>
          <w:i/>
        </w:rPr>
        <w:t>, maj</w:t>
      </w:r>
      <w:r w:rsidRPr="008C505C">
        <w:rPr>
          <w:rFonts w:ascii="Calibri" w:hAnsi="Calibri" w:cs="Calibri"/>
          <w:i/>
        </w:rPr>
        <w:t>í</w:t>
      </w:r>
      <w:r w:rsidRPr="008C505C">
        <w:rPr>
          <w:i/>
        </w:rPr>
        <w:t>-li vysokou kapacitu co do po</w:t>
      </w:r>
      <w:r w:rsidRPr="008C505C">
        <w:rPr>
          <w:rFonts w:ascii="Calibri" w:hAnsi="Calibri" w:cs="Calibri"/>
          <w:i/>
        </w:rPr>
        <w:t>č</w:t>
      </w:r>
      <w:r w:rsidRPr="008C505C">
        <w:rPr>
          <w:i/>
        </w:rPr>
        <w:t>tu n</w:t>
      </w:r>
      <w:r w:rsidRPr="008C505C">
        <w:rPr>
          <w:rFonts w:ascii="Calibri" w:hAnsi="Calibri" w:cs="Calibri"/>
          <w:i/>
        </w:rPr>
        <w:t>á</w:t>
      </w:r>
      <w:r w:rsidRPr="008C505C">
        <w:rPr>
          <w:i/>
        </w:rPr>
        <w:t>boj</w:t>
      </w:r>
      <w:r w:rsidRPr="008C505C">
        <w:rPr>
          <w:rFonts w:ascii="Calibri" w:hAnsi="Calibri" w:cs="Calibri"/>
          <w:i/>
        </w:rPr>
        <w:t>ů</w:t>
      </w:r>
      <w:r w:rsidRPr="008C505C">
        <w:rPr>
          <w:i/>
        </w:rPr>
        <w:t>. Samonab</w:t>
      </w:r>
      <w:r w:rsidRPr="008C505C">
        <w:rPr>
          <w:rFonts w:ascii="Calibri" w:hAnsi="Calibri" w:cs="Calibri"/>
          <w:i/>
        </w:rPr>
        <w:t>í</w:t>
      </w:r>
      <w:r w:rsidRPr="008C505C">
        <w:rPr>
          <w:i/>
        </w:rPr>
        <w:t>jec</w:t>
      </w:r>
      <w:r w:rsidRPr="008C505C">
        <w:rPr>
          <w:rFonts w:ascii="Calibri" w:hAnsi="Calibri" w:cs="Calibri"/>
          <w:i/>
        </w:rPr>
        <w:t>í</w:t>
      </w:r>
      <w:r w:rsidRPr="008C505C">
        <w:rPr>
          <w:i/>
        </w:rPr>
        <w:t xml:space="preserve"> paln</w:t>
      </w:r>
      <w:r w:rsidRPr="008C505C">
        <w:rPr>
          <w:rFonts w:ascii="Calibri" w:hAnsi="Calibri" w:cs="Calibri"/>
          <w:i/>
        </w:rPr>
        <w:t>é</w:t>
      </w:r>
      <w:r w:rsidRPr="008C505C">
        <w:rPr>
          <w:i/>
        </w:rPr>
        <w:t xml:space="preserve"> zbran</w:t>
      </w:r>
      <w:r w:rsidRPr="008C505C">
        <w:rPr>
          <w:rFonts w:ascii="Calibri" w:hAnsi="Calibri" w:cs="Calibri"/>
          <w:i/>
        </w:rPr>
        <w:t>ě</w:t>
      </w:r>
      <w:r w:rsidRPr="008C505C">
        <w:rPr>
          <w:i/>
        </w:rPr>
        <w:t xml:space="preserve"> s neodn</w:t>
      </w:r>
      <w:r w:rsidRPr="008C505C">
        <w:rPr>
          <w:rFonts w:ascii="Calibri" w:hAnsi="Calibri" w:cs="Calibri"/>
          <w:i/>
        </w:rPr>
        <w:t>í</w:t>
      </w:r>
      <w:r w:rsidRPr="008C505C">
        <w:rPr>
          <w:i/>
        </w:rPr>
        <w:t>mateln</w:t>
      </w:r>
      <w:r w:rsidRPr="008C505C">
        <w:rPr>
          <w:rFonts w:ascii="Calibri" w:hAnsi="Calibri" w:cs="Calibri"/>
          <w:i/>
        </w:rPr>
        <w:t>ý</w:t>
      </w:r>
      <w:r w:rsidRPr="008C505C">
        <w:rPr>
          <w:i/>
        </w:rPr>
        <w:t>m z</w:t>
      </w:r>
      <w:r w:rsidRPr="008C505C">
        <w:rPr>
          <w:rFonts w:ascii="Calibri" w:hAnsi="Calibri" w:cs="Calibri"/>
          <w:i/>
        </w:rPr>
        <w:t>á</w:t>
      </w:r>
      <w:r w:rsidRPr="008C505C">
        <w:rPr>
          <w:i/>
        </w:rPr>
        <w:t>sobovac</w:t>
      </w:r>
      <w:r w:rsidRPr="008C505C">
        <w:rPr>
          <w:rFonts w:ascii="Calibri" w:hAnsi="Calibri" w:cs="Calibri"/>
          <w:i/>
        </w:rPr>
        <w:t>í</w:t>
      </w:r>
      <w:r w:rsidRPr="008C505C">
        <w:rPr>
          <w:i/>
        </w:rPr>
        <w:t xml:space="preserve">m </w:t>
      </w:r>
      <w:r w:rsidRPr="008C505C">
        <w:rPr>
          <w:rFonts w:ascii="Calibri" w:hAnsi="Calibri" w:cs="Calibri"/>
          <w:i/>
        </w:rPr>
        <w:t>ú</w:t>
      </w:r>
      <w:r w:rsidRPr="008C505C">
        <w:rPr>
          <w:i/>
        </w:rPr>
        <w:t>stroj</w:t>
      </w:r>
      <w:r w:rsidRPr="008C505C">
        <w:rPr>
          <w:rFonts w:ascii="Calibri" w:hAnsi="Calibri" w:cs="Calibri"/>
          <w:i/>
        </w:rPr>
        <w:t>í</w:t>
      </w:r>
      <w:r w:rsidRPr="008C505C">
        <w:rPr>
          <w:i/>
        </w:rPr>
        <w:t>m umo</w:t>
      </w:r>
      <w:r w:rsidRPr="008C505C">
        <w:rPr>
          <w:rFonts w:ascii="Calibri" w:hAnsi="Calibri" w:cs="Calibri"/>
          <w:i/>
        </w:rPr>
        <w:t>žň</w:t>
      </w:r>
      <w:r w:rsidRPr="008C505C">
        <w:rPr>
          <w:i/>
        </w:rPr>
        <w:t xml:space="preserve">ujícím střelbu vysokého počtu nábojů a samonabíjecí palné zbraně v kombinaci s vysokokapacitním odnímatelným zásobovacím ústrojím by proto měly být pro civilní použití zakázány. Pouhá možnost nasazení </w:t>
      </w:r>
      <w:r w:rsidRPr="008C505C">
        <w:rPr>
          <w:i/>
        </w:rPr>
        <w:lastRenderedPageBreak/>
        <w:t>zásobovacího ústrojí s kapacitou více než 10 nábojů do dlouhých palných zbraní a 20 nábojů do krátkých palných zbraní není určující pro kategorizaci palné zbraně do určité kategorie.</w:t>
      </w:r>
    </w:p>
    <w:p w:rsidR="008C505C" w:rsidRPr="008C505C" w:rsidRDefault="008C505C" w:rsidP="00AE3476">
      <w:pPr>
        <w:shd w:val="clear" w:color="auto" w:fill="D9D9D9" w:themeFill="background1" w:themeFillShade="D9"/>
        <w:jc w:val="both"/>
        <w:rPr>
          <w:i/>
        </w:rPr>
      </w:pPr>
      <w:r w:rsidRPr="008C505C">
        <w:rPr>
          <w:i/>
        </w:rPr>
        <w:t>(24) Aniž je dotčeno obnovení povolení v souladu se směrnicí 91/477/EHS, samonabíjecí palné zbraně, které využívají okrajový zápal, včetně zbraní ráže 22 nebo menší, by neměly být zařazeny do kategorie A, pokud nebyly přeměněny ze samočinných palných zbraní.</w:t>
      </w:r>
    </w:p>
    <w:p w:rsidR="008C505C" w:rsidRPr="008C505C" w:rsidRDefault="008C505C" w:rsidP="00AE3476">
      <w:pPr>
        <w:shd w:val="clear" w:color="auto" w:fill="D9D9D9" w:themeFill="background1" w:themeFillShade="D9"/>
        <w:jc w:val="both"/>
        <w:rPr>
          <w:i/>
        </w:rPr>
      </w:pPr>
      <w:r w:rsidRPr="008C505C">
        <w:rPr>
          <w:i/>
        </w:rPr>
        <w:t>(25) Ustanovení směrnice 91/477/EHS týkající se evropského zbrojního pasu jako hlavního dokumentu, který pro svou činnost potřebují sportovní střelci a další osoby oprávněné v souladu s uvedenou směrnicí, by se měla zlepšit, a to vložením odkazu na palné zbraně zařazené do kategorie A do příslušných ustanovení uvedené směrnice, aniž je dotčeno právo členských států uplatňovat přísnější pravidla.</w:t>
      </w:r>
    </w:p>
    <w:p w:rsidR="008C505C" w:rsidRPr="008C505C" w:rsidRDefault="008C505C" w:rsidP="00AE3476">
      <w:pPr>
        <w:shd w:val="clear" w:color="auto" w:fill="D9D9D9" w:themeFill="background1" w:themeFillShade="D9"/>
        <w:jc w:val="both"/>
        <w:rPr>
          <w:i/>
        </w:rPr>
      </w:pPr>
      <w:r w:rsidRPr="008C505C">
        <w:rPr>
          <w:i/>
        </w:rPr>
        <w:t>(26) Na předměty, které mají vzhled palné zbraně („repliky“), avšak jsou vyrobeny tak, aby nemohly být přeměněny k vystřelování hromadné nebo jednotné střely nebo jiného projektilu působením okamžitého uvolnění chemické energie, by se směrnice 91/477/EHS neměla vztahovat.</w:t>
      </w:r>
    </w:p>
    <w:p w:rsidR="008C505C" w:rsidRPr="008C505C" w:rsidRDefault="008C505C" w:rsidP="00AE3476">
      <w:pPr>
        <w:shd w:val="clear" w:color="auto" w:fill="D9D9D9" w:themeFill="background1" w:themeFillShade="D9"/>
        <w:jc w:val="both"/>
        <w:rPr>
          <w:i/>
        </w:rPr>
      </w:pPr>
      <w:r w:rsidRPr="008C505C">
        <w:rPr>
          <w:i/>
        </w:rPr>
        <w:t>(27) Pokud mají členské státy vnitrostátní právní předpisy upravující historické zbraně, směrnice 91/477/EHS se na tyto zbraně nevztahuje. S reprodukcemi historických zbraní se však nepojí stejný historický význam nebo zájem a mohou být vyrobeny za použití moderních postupů, které mohou zlepšit jejich odolnost a přesnost. Na tyto reprodukce by se proto měla vztahovat směrnice 91/477/EHS. Směrnice 91/477/EHS se nepoužije na jiné položky, jako jsou airsoftové zbraně, které neodpovídají definici palné zbraně a nejsou proto upraveny uvedenou směrnicí.</w:t>
      </w:r>
    </w:p>
    <w:p w:rsidR="008C505C" w:rsidRPr="008C505C" w:rsidRDefault="008C505C" w:rsidP="00AE3476">
      <w:pPr>
        <w:shd w:val="clear" w:color="auto" w:fill="D9D9D9" w:themeFill="background1" w:themeFillShade="D9"/>
        <w:jc w:val="both"/>
        <w:rPr>
          <w:i/>
        </w:rPr>
      </w:pPr>
      <w:r w:rsidRPr="008C505C">
        <w:rPr>
          <w:i/>
        </w:rPr>
        <w:t>(28) V zájmu zlepšení fungování výměny informací mezi členskými státy by bylo užitečné, kdyby Komise mohla posoudit nezbytné prvky systému na podporu takové výměny informací obsažených v počítačových systémech evidence údajů, které jsou v členských státech zavedeny, včetně toho, zda lze přístup k takovému systému umožnit všem členským státům. Tento systém může využívat modul systému pro výměnu informací o vnitřním trhu („IMI“), zřízený nařízením Evropského parlamentu a Rady (EU) č. 1024/2012, zvláště uzpůsobený pro palné zbraně. Taková výměna informací mezi členskými státy by měla probíhat v souladu s pravidly ochrany údajů stanovenými v nařízení Evropského parlamentu a Rady (EU) č. 2016/679. Pokud příslušný orgán potřebuje přístup k záznamům v rejstříku trestů osoby žádající o povolení nabýt nebo držet palnou zbraň, měl by mít tento orgán možnost získat uvedené informace podle rámcového rozhodnutí Rady 2009/315/SVV. Posouzení Komise by mohlo být případně doprovázeno legislativním návrhem zohledňujícím stávající nástroje pro výměnu informací.</w:t>
      </w:r>
    </w:p>
    <w:p w:rsidR="008C505C" w:rsidRPr="008C505C" w:rsidRDefault="008C505C" w:rsidP="00AE3476">
      <w:pPr>
        <w:shd w:val="clear" w:color="auto" w:fill="D9D9D9" w:themeFill="background1" w:themeFillShade="D9"/>
        <w:jc w:val="both"/>
        <w:rPr>
          <w:i/>
        </w:rPr>
      </w:pPr>
      <w:r w:rsidRPr="008C505C">
        <w:rPr>
          <w:i/>
        </w:rPr>
        <w:t xml:space="preserve">(29) Za účelem zajištění náležité výměny informací elektronickými prostředky mezi členskými státy, pokud jde o udělená povolení na převod palných zbraní do jiného členského státu a zamítnutí udělení povolení k nabytí nebo držení palné zbraně, by měla být na Komisi přenesena pravomoc přijímat akty v souladu s článkem 290 Smlouvy o fungování Evropské unie, pokud jde o stanovení předpisů, které členským státům umožní vytvořit takový systém výměny informací. Je obzvláště důležité, aby Komise v rámci své přípravné činnosti vedla odpovídající konzultace, a to i na odborné úrovni, a aby tyto konzultace probíhaly v souladu se zásadami stanovenými v interinstitucionální dohodě ze dne 13. dubna 2016 o zdokonalení tvorby právních předpisů. Pro zajištění rovné účasti na vypracovávání aktů v přenesené pravomoci obdrží Evropský parlament a Rada veškeré dokumenty současně s odborníky z </w:t>
      </w:r>
      <w:r w:rsidRPr="008C505C">
        <w:rPr>
          <w:i/>
        </w:rPr>
        <w:lastRenderedPageBreak/>
        <w:t>členských států a jejich odborníci mají automaticky přístup na setkání skupin odborníků Komise, jež se věnují přípravě aktů v přenesené pravomoci.</w:t>
      </w:r>
    </w:p>
    <w:p w:rsidR="008C505C" w:rsidRPr="008C505C" w:rsidRDefault="008C505C" w:rsidP="00AE3476">
      <w:pPr>
        <w:shd w:val="clear" w:color="auto" w:fill="D9D9D9" w:themeFill="background1" w:themeFillShade="D9"/>
        <w:jc w:val="both"/>
        <w:rPr>
          <w:i/>
        </w:rPr>
      </w:pPr>
      <w:r w:rsidRPr="008C505C">
        <w:rPr>
          <w:i/>
        </w:rPr>
        <w:t>(30) Za účelem zajištění jednotných podmínek k provedení této směrnice by měly být Komisi svěřeny prováděcí pravomoci. Tyto pravomoci by měly být vykonávány v souladu s nařízením Evropského parlamentu a Rady (EU) č. 182/2011.</w:t>
      </w:r>
    </w:p>
    <w:p w:rsidR="008C505C" w:rsidRPr="008C505C" w:rsidRDefault="008C505C" w:rsidP="00AE3476">
      <w:pPr>
        <w:shd w:val="clear" w:color="auto" w:fill="D9D9D9" w:themeFill="background1" w:themeFillShade="D9"/>
        <w:jc w:val="both"/>
        <w:rPr>
          <w:i/>
        </w:rPr>
      </w:pPr>
      <w:r w:rsidRPr="008C505C">
        <w:rPr>
          <w:i/>
        </w:rPr>
        <w:t>(31) Tato směrnice dodržuje základní lidská práva a ctí zásady uznané zejména Listinou základních práv Evropské unie.</w:t>
      </w:r>
    </w:p>
    <w:p w:rsidR="008C505C" w:rsidRPr="008C505C" w:rsidRDefault="008C505C" w:rsidP="00AE3476">
      <w:pPr>
        <w:shd w:val="clear" w:color="auto" w:fill="D9D9D9" w:themeFill="background1" w:themeFillShade="D9"/>
        <w:jc w:val="both"/>
        <w:rPr>
          <w:i/>
        </w:rPr>
      </w:pPr>
      <w:r w:rsidRPr="008C505C">
        <w:rPr>
          <w:i/>
        </w:rPr>
        <w:t>(32) Na zpracování osobních údajů v rámci směrnice 91/477/EHS by se mělo použít nařízení (EU) 2016/679. Pokud jsou osobní údaje shromažďované podle směrnice 91/477/EHS zpracovávány pro účely prevence, vyšetřování, odhalování či stíhání trestných činů nebo výkonu trestů, měly by orgány, jež tyto údaje zpracovávají, dodržovat pravidla přijatá podle směrnice Evropského parlamentu a Rady (EU) 2016/680.</w:t>
      </w:r>
    </w:p>
    <w:p w:rsidR="008C505C" w:rsidRPr="008C505C" w:rsidRDefault="008C505C" w:rsidP="00AE3476">
      <w:pPr>
        <w:shd w:val="clear" w:color="auto" w:fill="D9D9D9" w:themeFill="background1" w:themeFillShade="D9"/>
        <w:jc w:val="both"/>
        <w:rPr>
          <w:i/>
        </w:rPr>
      </w:pPr>
      <w:r w:rsidRPr="008C505C">
        <w:rPr>
          <w:i/>
        </w:rPr>
        <w:t>(33) Jelikož cílů této směrnice nemůže být dosaženo uspokojivě členskými státy, ale spíše jich, z důvodu rozsahu a účinků činnosti může být lépe dosaženo na úrovni Unie, může Unie přijmout opatření v souladu se zásadou subsidiarity stanovenou v článku 5 Smlouvy o Evropské unii. V souladu se zásadou proporcionality stanovenou v uvedeném článku nepřekračuje tato směrnice rámec toho, co je nezbytné pro dosažení těchto cílů.</w:t>
      </w:r>
    </w:p>
    <w:p w:rsidR="008C505C" w:rsidRPr="008C505C" w:rsidRDefault="008C505C" w:rsidP="00AE3476">
      <w:pPr>
        <w:shd w:val="clear" w:color="auto" w:fill="D9D9D9" w:themeFill="background1" w:themeFillShade="D9"/>
        <w:jc w:val="both"/>
        <w:rPr>
          <w:i/>
        </w:rPr>
      </w:pPr>
      <w:r w:rsidRPr="008C505C">
        <w:rPr>
          <w:i/>
        </w:rPr>
        <w:t>(34) Směrnice 91/477/EHS by proto měla být odpovídajícím způsobem změněna.</w:t>
      </w:r>
    </w:p>
    <w:p w:rsidR="008C505C" w:rsidRPr="008C505C" w:rsidRDefault="008C505C" w:rsidP="00AE3476">
      <w:pPr>
        <w:shd w:val="clear" w:color="auto" w:fill="D9D9D9" w:themeFill="background1" w:themeFillShade="D9"/>
        <w:jc w:val="both"/>
        <w:rPr>
          <w:i/>
        </w:rPr>
      </w:pPr>
      <w:r w:rsidRPr="008C505C">
        <w:rPr>
          <w:i/>
        </w:rPr>
        <w:t>(35) Pokud jde o Island a Norsko, rozvíjí tato směrnice a směrnice 91/477/EHS ta ustanovení schengenského acquis ve smyslu Dohody uzavřené mezi Radou Evropské unie a Islandskou republikou a Norským královstvím o přidružení těchto dvou států k provádění, uplatňování a rozvoji schengenského acquis, která spadají do oblastí uvedených v článku 1 rozhodnutí Rady 1999/437/ES.</w:t>
      </w:r>
    </w:p>
    <w:p w:rsidR="008C505C" w:rsidRPr="008C505C" w:rsidRDefault="008C505C" w:rsidP="00AE3476">
      <w:pPr>
        <w:shd w:val="clear" w:color="auto" w:fill="D9D9D9" w:themeFill="background1" w:themeFillShade="D9"/>
        <w:jc w:val="both"/>
        <w:rPr>
          <w:i/>
        </w:rPr>
      </w:pPr>
      <w:r w:rsidRPr="008C505C">
        <w:rPr>
          <w:i/>
        </w:rPr>
        <w:t>(36) Pokud jde o Švýcarsko, rozvíjí tato směrnice a směrnice 91/477/EHS ta ustanovení schengenského acquis ve smyslu Dohody mezi Evropskou unií, Evropským společenstvím a Švýcarskou konfederací o přidružení Švýcarské konfederace k provádění, uplatňování a rozvoji schengenského acquis, která spadají do oblastí uvedených v článku 1 rozhodnutí 1999/437/ES ve spojení s článkem 3 rozhodnutí 2008/146/ES.</w:t>
      </w:r>
    </w:p>
    <w:p w:rsidR="008C505C" w:rsidRDefault="008C505C" w:rsidP="00AE3476">
      <w:pPr>
        <w:shd w:val="clear" w:color="auto" w:fill="D9D9D9" w:themeFill="background1" w:themeFillShade="D9"/>
        <w:jc w:val="both"/>
      </w:pPr>
      <w:r w:rsidRPr="008C505C">
        <w:rPr>
          <w:i/>
        </w:rPr>
        <w:t>(37) Pokud jde o Lichtenštejnsko, rozvíjí tato směrnice a směrnice 91/477/EHS ta ustanovení schengenského acquis ve smyslu Protokolu mezi Evropskou unií, Evropským společenstvím, Švýcarskou konfederací a Lichtenštejnským knížectvím o přistoupení Lichtenštejnského knížectví k Dohodě mezi Evropskou unií, Evropským společenstvím a Švýcarskou konfederací o přidružení Švýcarské konfederace k provádění, uplatňování a rozvoji schengenského acquis, která spadají do oblastí uvedených v článku 1 rozhodnutí 1999/437/ES ve spojení s článkem 3 rozhodnutí 2011/350/EU.</w:t>
      </w:r>
    </w:p>
    <w:p w:rsidR="008C505C" w:rsidRPr="00972824" w:rsidRDefault="008C505C" w:rsidP="008C505C">
      <w:pPr>
        <w:jc w:val="both"/>
      </w:pPr>
    </w:p>
    <w:p w:rsidR="00972824" w:rsidRPr="00972824" w:rsidRDefault="00972824" w:rsidP="00225BF7">
      <w:pPr>
        <w:jc w:val="center"/>
      </w:pPr>
      <w:r w:rsidRPr="00972824">
        <w:t>KAPITOLA 1</w:t>
      </w:r>
    </w:p>
    <w:p w:rsidR="00972824" w:rsidRDefault="00972824" w:rsidP="00225BF7">
      <w:pPr>
        <w:jc w:val="center"/>
        <w:rPr>
          <w:b/>
          <w:bCs/>
        </w:rPr>
      </w:pPr>
      <w:r w:rsidRPr="00972824">
        <w:rPr>
          <w:b/>
          <w:bCs/>
        </w:rPr>
        <w:t>Oblast působnosti</w:t>
      </w:r>
    </w:p>
    <w:p w:rsidR="00225BF7" w:rsidRPr="00972824" w:rsidRDefault="00225BF7" w:rsidP="00225BF7">
      <w:pPr>
        <w:jc w:val="center"/>
        <w:rPr>
          <w:b/>
          <w:bCs/>
        </w:rPr>
      </w:pPr>
    </w:p>
    <w:p w:rsidR="00972824" w:rsidRPr="00225BF7" w:rsidRDefault="00972824" w:rsidP="00225BF7">
      <w:pPr>
        <w:jc w:val="center"/>
        <w:rPr>
          <w:b/>
          <w:i/>
          <w:iCs/>
        </w:rPr>
      </w:pPr>
      <w:r w:rsidRPr="00225BF7">
        <w:rPr>
          <w:b/>
          <w:i/>
          <w:iCs/>
        </w:rPr>
        <w:t>Článek 1</w:t>
      </w:r>
    </w:p>
    <w:p w:rsidR="001C542F" w:rsidRPr="001C542F" w:rsidRDefault="001C542F" w:rsidP="00F20A42">
      <w:pPr>
        <w:jc w:val="both"/>
        <w:rPr>
          <w:b/>
          <w:u w:val="single"/>
        </w:rPr>
      </w:pPr>
      <w:r w:rsidRPr="001C542F">
        <w:rPr>
          <w:b/>
          <w:u w:val="single"/>
        </w:rPr>
        <w:t>1.  Pro účely této směrnice se rozumí:</w:t>
      </w:r>
    </w:p>
    <w:p w:rsidR="001C542F" w:rsidRPr="001C542F" w:rsidRDefault="001C542F" w:rsidP="00F20A42">
      <w:pPr>
        <w:ind w:left="708"/>
        <w:jc w:val="both"/>
        <w:rPr>
          <w:b/>
          <w:u w:val="single"/>
        </w:rPr>
      </w:pPr>
      <w:r w:rsidRPr="001C542F">
        <w:rPr>
          <w:b/>
          <w:u w:val="single"/>
        </w:rPr>
        <w:t xml:space="preserve">  1) „palnou zbraní“ jakákoli ruční zbraň s hlavní, která vystřeluje nebo je konstruována či může být přeměněna tak, aby vystřelovala hromadnou nebo jednotnou střelu nebo jiný projektil působením okamžitého uvolnění chemické energie, není-li z této definice vyloučena z některého z důvodů uvedených v části III přílohy I. Palné zbraně jsou zařazeny do kategorií podle části II přílohy I;</w:t>
      </w:r>
    </w:p>
    <w:p w:rsidR="001C542F" w:rsidRPr="001C542F" w:rsidRDefault="001C542F" w:rsidP="00F20A42">
      <w:pPr>
        <w:ind w:left="708"/>
        <w:jc w:val="both"/>
        <w:rPr>
          <w:b/>
          <w:u w:val="single"/>
        </w:rPr>
      </w:pPr>
      <w:r w:rsidRPr="001C542F">
        <w:rPr>
          <w:b/>
          <w:u w:val="single"/>
        </w:rPr>
        <w:t>Zbraň lze uschopnit k vystřelování hromadné nebo jednotné střely nebo jiného projektilu působením okamžitého uvolnění chemické energie, jestliže</w:t>
      </w:r>
    </w:p>
    <w:p w:rsidR="001C542F" w:rsidRPr="001C542F" w:rsidRDefault="001C542F" w:rsidP="00F20A42">
      <w:pPr>
        <w:ind w:left="1416"/>
        <w:jc w:val="both"/>
        <w:rPr>
          <w:b/>
          <w:u w:val="single"/>
        </w:rPr>
      </w:pPr>
      <w:r w:rsidRPr="001C542F">
        <w:rPr>
          <w:b/>
          <w:u w:val="single"/>
        </w:rPr>
        <w:t xml:space="preserve">  a) má vzhled palné zbraně; a</w:t>
      </w:r>
    </w:p>
    <w:p w:rsidR="001C542F" w:rsidRPr="001C542F" w:rsidRDefault="001C542F" w:rsidP="00F20A42">
      <w:pPr>
        <w:ind w:left="1416"/>
        <w:jc w:val="both"/>
        <w:rPr>
          <w:b/>
          <w:u w:val="single"/>
        </w:rPr>
      </w:pPr>
      <w:r w:rsidRPr="001C542F">
        <w:rPr>
          <w:b/>
          <w:u w:val="single"/>
        </w:rPr>
        <w:t xml:space="preserve">  b) v důsledku své konstrukce nebo materiálu, z něhož je vyrobena, může být uschopněna ke střelbě;</w:t>
      </w:r>
    </w:p>
    <w:p w:rsidR="001C542F" w:rsidRPr="001C542F" w:rsidRDefault="001C542F" w:rsidP="00F20A42">
      <w:pPr>
        <w:ind w:left="708"/>
        <w:jc w:val="both"/>
        <w:rPr>
          <w:b/>
          <w:u w:val="single"/>
        </w:rPr>
      </w:pPr>
      <w:r w:rsidRPr="001C542F">
        <w:rPr>
          <w:b/>
          <w:u w:val="single"/>
        </w:rPr>
        <w:t xml:space="preserve">  2) „hlavní částí“ hlaveň, rám, pouzdro závěru, případně včetně horního i dolního pouzdra závěru, závěr, nábojový válec revolveru, závorník nebo závěrový blok, kter</w:t>
      </w:r>
      <w:r w:rsidRPr="001C542F">
        <w:rPr>
          <w:rFonts w:ascii="Calibri" w:hAnsi="Calibri" w:cs="Calibri"/>
          <w:b/>
          <w:u w:val="single"/>
        </w:rPr>
        <w:t>é</w:t>
      </w:r>
      <w:r w:rsidRPr="001C542F">
        <w:rPr>
          <w:b/>
          <w:u w:val="single"/>
        </w:rPr>
        <w:t xml:space="preserve"> se, jako odd</w:t>
      </w:r>
      <w:r w:rsidRPr="001C542F">
        <w:rPr>
          <w:rFonts w:ascii="Calibri" w:hAnsi="Calibri" w:cs="Calibri"/>
          <w:b/>
          <w:u w:val="single"/>
        </w:rPr>
        <w:t>ě</w:t>
      </w:r>
      <w:r w:rsidRPr="001C542F">
        <w:rPr>
          <w:b/>
          <w:u w:val="single"/>
        </w:rPr>
        <w:t>len</w:t>
      </w:r>
      <w:r w:rsidRPr="001C542F">
        <w:rPr>
          <w:rFonts w:ascii="Calibri" w:hAnsi="Calibri" w:cs="Calibri"/>
          <w:b/>
          <w:u w:val="single"/>
        </w:rPr>
        <w:t>é</w:t>
      </w:r>
      <w:r w:rsidRPr="001C542F">
        <w:rPr>
          <w:b/>
          <w:u w:val="single"/>
        </w:rPr>
        <w:t xml:space="preserve"> p</w:t>
      </w:r>
      <w:r w:rsidRPr="001C542F">
        <w:rPr>
          <w:rFonts w:ascii="Calibri" w:hAnsi="Calibri" w:cs="Calibri"/>
          <w:b/>
          <w:u w:val="single"/>
        </w:rPr>
        <w:t>ř</w:t>
      </w:r>
      <w:r w:rsidRPr="001C542F">
        <w:rPr>
          <w:b/>
          <w:u w:val="single"/>
        </w:rPr>
        <w:t>edm</w:t>
      </w:r>
      <w:r w:rsidRPr="001C542F">
        <w:rPr>
          <w:rFonts w:ascii="Calibri" w:hAnsi="Calibri" w:cs="Calibri"/>
          <w:b/>
          <w:u w:val="single"/>
        </w:rPr>
        <w:t>ě</w:t>
      </w:r>
      <w:r w:rsidRPr="001C542F">
        <w:rPr>
          <w:b/>
          <w:u w:val="single"/>
        </w:rPr>
        <w:t>ty, zahrnuj</w:t>
      </w:r>
      <w:r w:rsidRPr="001C542F">
        <w:rPr>
          <w:rFonts w:ascii="Calibri" w:hAnsi="Calibri" w:cs="Calibri"/>
          <w:b/>
          <w:u w:val="single"/>
        </w:rPr>
        <w:t>í</w:t>
      </w:r>
      <w:r w:rsidRPr="001C542F">
        <w:rPr>
          <w:b/>
          <w:u w:val="single"/>
        </w:rPr>
        <w:t xml:space="preserve"> do kategorie t</w:t>
      </w:r>
      <w:r w:rsidRPr="001C542F">
        <w:rPr>
          <w:rFonts w:ascii="Calibri" w:hAnsi="Calibri" w:cs="Calibri"/>
          <w:b/>
          <w:u w:val="single"/>
        </w:rPr>
        <w:t>ě</w:t>
      </w:r>
      <w:r w:rsidRPr="001C542F">
        <w:rPr>
          <w:b/>
          <w:u w:val="single"/>
        </w:rPr>
        <w:t>ch paln</w:t>
      </w:r>
      <w:r w:rsidRPr="001C542F">
        <w:rPr>
          <w:rFonts w:ascii="Calibri" w:hAnsi="Calibri" w:cs="Calibri"/>
          <w:b/>
          <w:u w:val="single"/>
        </w:rPr>
        <w:t>ý</w:t>
      </w:r>
      <w:r w:rsidRPr="001C542F">
        <w:rPr>
          <w:b/>
          <w:u w:val="single"/>
        </w:rPr>
        <w:t>ch zbran</w:t>
      </w:r>
      <w:r w:rsidRPr="001C542F">
        <w:rPr>
          <w:rFonts w:ascii="Calibri" w:hAnsi="Calibri" w:cs="Calibri"/>
          <w:b/>
          <w:u w:val="single"/>
        </w:rPr>
        <w:t>í</w:t>
      </w:r>
      <w:r w:rsidRPr="001C542F">
        <w:rPr>
          <w:b/>
          <w:u w:val="single"/>
        </w:rPr>
        <w:t>, kter</w:t>
      </w:r>
      <w:r w:rsidRPr="001C542F">
        <w:rPr>
          <w:rFonts w:ascii="Calibri" w:hAnsi="Calibri" w:cs="Calibri"/>
          <w:b/>
          <w:u w:val="single"/>
        </w:rPr>
        <w:t>ý</w:t>
      </w:r>
      <w:r w:rsidRPr="001C542F">
        <w:rPr>
          <w:b/>
          <w:u w:val="single"/>
        </w:rPr>
        <w:t>ch jsou nebo maj</w:t>
      </w:r>
      <w:r w:rsidRPr="001C542F">
        <w:rPr>
          <w:rFonts w:ascii="Calibri" w:hAnsi="Calibri" w:cs="Calibri"/>
          <w:b/>
          <w:u w:val="single"/>
        </w:rPr>
        <w:t>í</w:t>
      </w:r>
      <w:r w:rsidRPr="001C542F">
        <w:rPr>
          <w:b/>
          <w:u w:val="single"/>
        </w:rPr>
        <w:t xml:space="preserve"> b</w:t>
      </w:r>
      <w:r w:rsidRPr="001C542F">
        <w:rPr>
          <w:rFonts w:ascii="Calibri" w:hAnsi="Calibri" w:cs="Calibri"/>
          <w:b/>
          <w:u w:val="single"/>
        </w:rPr>
        <w:t>ý</w:t>
      </w:r>
      <w:r w:rsidRPr="001C542F">
        <w:rPr>
          <w:b/>
          <w:u w:val="single"/>
        </w:rPr>
        <w:t>t sou</w:t>
      </w:r>
      <w:r w:rsidRPr="001C542F">
        <w:rPr>
          <w:rFonts w:ascii="Calibri" w:hAnsi="Calibri" w:cs="Calibri"/>
          <w:b/>
          <w:u w:val="single"/>
        </w:rPr>
        <w:t>čá</w:t>
      </w:r>
      <w:r w:rsidRPr="001C542F">
        <w:rPr>
          <w:b/>
          <w:u w:val="single"/>
        </w:rPr>
        <w:t>st</w:t>
      </w:r>
      <w:r w:rsidRPr="001C542F">
        <w:rPr>
          <w:rFonts w:ascii="Calibri" w:hAnsi="Calibri" w:cs="Calibri"/>
          <w:b/>
          <w:u w:val="single"/>
        </w:rPr>
        <w:t>í</w:t>
      </w:r>
      <w:r w:rsidRPr="001C542F">
        <w:rPr>
          <w:b/>
          <w:u w:val="single"/>
        </w:rPr>
        <w:t>;</w:t>
      </w:r>
    </w:p>
    <w:p w:rsidR="001C542F" w:rsidRPr="001C542F" w:rsidRDefault="001C542F" w:rsidP="00F20A42">
      <w:pPr>
        <w:ind w:left="708"/>
        <w:jc w:val="both"/>
        <w:rPr>
          <w:b/>
          <w:u w:val="single"/>
        </w:rPr>
      </w:pPr>
      <w:r w:rsidRPr="001C542F">
        <w:rPr>
          <w:b/>
          <w:u w:val="single"/>
        </w:rPr>
        <w:t xml:space="preserve">  3) „střelivem“ kompletní náboj nebo jeho komponenty, jako jsou nábojnice, zápalky, výmetné náplně nebo projektily, které se používají v palných zbraních, za podmínky, že tyto komponenty samotné podléhají v dotčeném členském státě povolení;</w:t>
      </w:r>
    </w:p>
    <w:p w:rsidR="001C542F" w:rsidRPr="001C542F" w:rsidRDefault="001C542F" w:rsidP="00F20A42">
      <w:pPr>
        <w:ind w:left="708"/>
        <w:jc w:val="both"/>
        <w:rPr>
          <w:b/>
          <w:u w:val="single"/>
        </w:rPr>
      </w:pPr>
      <w:r w:rsidRPr="001C542F">
        <w:rPr>
          <w:b/>
          <w:u w:val="single"/>
        </w:rPr>
        <w:t xml:space="preserve"> 4) „poplašnými a signálními zbraněmi“ zařízení s držákem nábojnic, která jsou ur</w:t>
      </w:r>
      <w:r w:rsidRPr="001C542F">
        <w:rPr>
          <w:rFonts w:ascii="Calibri" w:hAnsi="Calibri" w:cs="Calibri"/>
          <w:b/>
          <w:u w:val="single"/>
        </w:rPr>
        <w:t>č</w:t>
      </w:r>
      <w:r w:rsidRPr="001C542F">
        <w:rPr>
          <w:b/>
          <w:u w:val="single"/>
        </w:rPr>
        <w:t>ena pouze ke st</w:t>
      </w:r>
      <w:r w:rsidRPr="001C542F">
        <w:rPr>
          <w:rFonts w:ascii="Calibri" w:hAnsi="Calibri" w:cs="Calibri"/>
          <w:b/>
          <w:u w:val="single"/>
        </w:rPr>
        <w:t>ř</w:t>
      </w:r>
      <w:r w:rsidRPr="001C542F">
        <w:rPr>
          <w:b/>
          <w:u w:val="single"/>
        </w:rPr>
        <w:t>elb</w:t>
      </w:r>
      <w:r w:rsidRPr="001C542F">
        <w:rPr>
          <w:rFonts w:ascii="Calibri" w:hAnsi="Calibri" w:cs="Calibri"/>
          <w:b/>
          <w:u w:val="single"/>
        </w:rPr>
        <w:t>ě</w:t>
      </w:r>
      <w:r w:rsidRPr="001C542F">
        <w:rPr>
          <w:b/>
          <w:u w:val="single"/>
        </w:rPr>
        <w:t xml:space="preserve"> s vyu</w:t>
      </w:r>
      <w:r w:rsidRPr="001C542F">
        <w:rPr>
          <w:rFonts w:ascii="Calibri" w:hAnsi="Calibri" w:cs="Calibri"/>
          <w:b/>
          <w:u w:val="single"/>
        </w:rPr>
        <w:t>ž</w:t>
      </w:r>
      <w:r w:rsidRPr="001C542F">
        <w:rPr>
          <w:b/>
          <w:u w:val="single"/>
        </w:rPr>
        <w:t>it</w:t>
      </w:r>
      <w:r w:rsidRPr="001C542F">
        <w:rPr>
          <w:rFonts w:ascii="Calibri" w:hAnsi="Calibri" w:cs="Calibri"/>
          <w:b/>
          <w:u w:val="single"/>
        </w:rPr>
        <w:t>í</w:t>
      </w:r>
      <w:r w:rsidRPr="001C542F">
        <w:rPr>
          <w:b/>
          <w:u w:val="single"/>
        </w:rPr>
        <w:t>m n</w:t>
      </w:r>
      <w:r w:rsidRPr="001C542F">
        <w:rPr>
          <w:rFonts w:ascii="Calibri" w:hAnsi="Calibri" w:cs="Calibri"/>
          <w:b/>
          <w:u w:val="single"/>
        </w:rPr>
        <w:t>á</w:t>
      </w:r>
      <w:r w:rsidRPr="001C542F">
        <w:rPr>
          <w:b/>
          <w:u w:val="single"/>
        </w:rPr>
        <w:t>bojek nebo cvi</w:t>
      </w:r>
      <w:r w:rsidRPr="001C542F">
        <w:rPr>
          <w:rFonts w:ascii="Calibri" w:hAnsi="Calibri" w:cs="Calibri"/>
          <w:b/>
          <w:u w:val="single"/>
        </w:rPr>
        <w:t>č</w:t>
      </w:r>
      <w:r w:rsidRPr="001C542F">
        <w:rPr>
          <w:b/>
          <w:u w:val="single"/>
        </w:rPr>
        <w:t>n</w:t>
      </w:r>
      <w:r w:rsidRPr="001C542F">
        <w:rPr>
          <w:rFonts w:ascii="Calibri" w:hAnsi="Calibri" w:cs="Calibri"/>
          <w:b/>
          <w:u w:val="single"/>
        </w:rPr>
        <w:t>ý</w:t>
      </w:r>
      <w:r w:rsidRPr="001C542F">
        <w:rPr>
          <w:b/>
          <w:u w:val="single"/>
        </w:rPr>
        <w:t>ch n</w:t>
      </w:r>
      <w:r w:rsidRPr="001C542F">
        <w:rPr>
          <w:rFonts w:ascii="Calibri" w:hAnsi="Calibri" w:cs="Calibri"/>
          <w:b/>
          <w:u w:val="single"/>
        </w:rPr>
        <w:t>á</w:t>
      </w:r>
      <w:r w:rsidRPr="001C542F">
        <w:rPr>
          <w:b/>
          <w:u w:val="single"/>
        </w:rPr>
        <w:t>boj</w:t>
      </w:r>
      <w:r w:rsidRPr="001C542F">
        <w:rPr>
          <w:rFonts w:ascii="Calibri" w:hAnsi="Calibri" w:cs="Calibri"/>
          <w:b/>
          <w:u w:val="single"/>
        </w:rPr>
        <w:t>ů</w:t>
      </w:r>
      <w:r w:rsidRPr="001C542F">
        <w:rPr>
          <w:b/>
          <w:u w:val="single"/>
        </w:rPr>
        <w:t>, dr</w:t>
      </w:r>
      <w:r w:rsidRPr="001C542F">
        <w:rPr>
          <w:rFonts w:ascii="Calibri" w:hAnsi="Calibri" w:cs="Calibri"/>
          <w:b/>
          <w:u w:val="single"/>
        </w:rPr>
        <w:t>áž</w:t>
      </w:r>
      <w:r w:rsidRPr="001C542F">
        <w:rPr>
          <w:b/>
          <w:u w:val="single"/>
        </w:rPr>
        <w:t>div</w:t>
      </w:r>
      <w:r w:rsidRPr="001C542F">
        <w:rPr>
          <w:rFonts w:ascii="Calibri" w:hAnsi="Calibri" w:cs="Calibri"/>
          <w:b/>
          <w:u w:val="single"/>
        </w:rPr>
        <w:t>ý</w:t>
      </w:r>
      <w:r w:rsidRPr="001C542F">
        <w:rPr>
          <w:b/>
          <w:u w:val="single"/>
        </w:rPr>
        <w:t>ch l</w:t>
      </w:r>
      <w:r w:rsidRPr="001C542F">
        <w:rPr>
          <w:rFonts w:ascii="Calibri" w:hAnsi="Calibri" w:cs="Calibri"/>
          <w:b/>
          <w:u w:val="single"/>
        </w:rPr>
        <w:t>á</w:t>
      </w:r>
      <w:r w:rsidRPr="001C542F">
        <w:rPr>
          <w:b/>
          <w:u w:val="single"/>
        </w:rPr>
        <w:t>tek, jin</w:t>
      </w:r>
      <w:r w:rsidRPr="001C542F">
        <w:rPr>
          <w:rFonts w:ascii="Calibri" w:hAnsi="Calibri" w:cs="Calibri"/>
          <w:b/>
          <w:u w:val="single"/>
        </w:rPr>
        <w:t>ý</w:t>
      </w:r>
      <w:r w:rsidRPr="001C542F">
        <w:rPr>
          <w:b/>
          <w:u w:val="single"/>
        </w:rPr>
        <w:t xml:space="preserve">ch </w:t>
      </w:r>
      <w:r w:rsidRPr="001C542F">
        <w:rPr>
          <w:rFonts w:ascii="Calibri" w:hAnsi="Calibri" w:cs="Calibri"/>
          <w:b/>
          <w:u w:val="single"/>
        </w:rPr>
        <w:t>úč</w:t>
      </w:r>
      <w:r w:rsidRPr="001C542F">
        <w:rPr>
          <w:b/>
          <w:u w:val="single"/>
        </w:rPr>
        <w:t>inn</w:t>
      </w:r>
      <w:r w:rsidRPr="001C542F">
        <w:rPr>
          <w:rFonts w:ascii="Calibri" w:hAnsi="Calibri" w:cs="Calibri"/>
          <w:b/>
          <w:u w:val="single"/>
        </w:rPr>
        <w:t>ý</w:t>
      </w:r>
      <w:r w:rsidRPr="001C542F">
        <w:rPr>
          <w:b/>
          <w:u w:val="single"/>
        </w:rPr>
        <w:t>ch l</w:t>
      </w:r>
      <w:r w:rsidRPr="001C542F">
        <w:rPr>
          <w:rFonts w:ascii="Calibri" w:hAnsi="Calibri" w:cs="Calibri"/>
          <w:b/>
          <w:u w:val="single"/>
        </w:rPr>
        <w:t>á</w:t>
      </w:r>
      <w:r w:rsidRPr="001C542F">
        <w:rPr>
          <w:b/>
          <w:u w:val="single"/>
        </w:rPr>
        <w:t>tek nebo pyrotechnick</w:t>
      </w:r>
      <w:r w:rsidRPr="001C542F">
        <w:rPr>
          <w:rFonts w:ascii="Calibri" w:hAnsi="Calibri" w:cs="Calibri"/>
          <w:b/>
          <w:u w:val="single"/>
        </w:rPr>
        <w:t>ý</w:t>
      </w:r>
      <w:r w:rsidRPr="001C542F">
        <w:rPr>
          <w:b/>
          <w:u w:val="single"/>
        </w:rPr>
        <w:t>ch sign</w:t>
      </w:r>
      <w:r w:rsidRPr="001C542F">
        <w:rPr>
          <w:rFonts w:ascii="Calibri" w:hAnsi="Calibri" w:cs="Calibri"/>
          <w:b/>
          <w:u w:val="single"/>
        </w:rPr>
        <w:t>á</w:t>
      </w:r>
      <w:r w:rsidRPr="001C542F">
        <w:rPr>
          <w:b/>
          <w:u w:val="single"/>
        </w:rPr>
        <w:t>ln</w:t>
      </w:r>
      <w:r w:rsidRPr="001C542F">
        <w:rPr>
          <w:rFonts w:ascii="Calibri" w:hAnsi="Calibri" w:cs="Calibri"/>
          <w:b/>
          <w:u w:val="single"/>
        </w:rPr>
        <w:t>í</w:t>
      </w:r>
      <w:r w:rsidRPr="001C542F">
        <w:rPr>
          <w:b/>
          <w:u w:val="single"/>
        </w:rPr>
        <w:t>ch n</w:t>
      </w:r>
      <w:r w:rsidRPr="001C542F">
        <w:rPr>
          <w:rFonts w:ascii="Calibri" w:hAnsi="Calibri" w:cs="Calibri"/>
          <w:b/>
          <w:u w:val="single"/>
        </w:rPr>
        <w:t>á</w:t>
      </w:r>
      <w:r w:rsidRPr="001C542F">
        <w:rPr>
          <w:b/>
          <w:u w:val="single"/>
        </w:rPr>
        <w:t>boj</w:t>
      </w:r>
      <w:r w:rsidRPr="001C542F">
        <w:rPr>
          <w:rFonts w:ascii="Calibri" w:hAnsi="Calibri" w:cs="Calibri"/>
          <w:b/>
          <w:u w:val="single"/>
        </w:rPr>
        <w:t>ů</w:t>
      </w:r>
      <w:r w:rsidRPr="001C542F">
        <w:rPr>
          <w:b/>
          <w:u w:val="single"/>
        </w:rPr>
        <w:t xml:space="preserve"> a nemohou b</w:t>
      </w:r>
      <w:r w:rsidRPr="001C542F">
        <w:rPr>
          <w:rFonts w:ascii="Calibri" w:hAnsi="Calibri" w:cs="Calibri"/>
          <w:b/>
          <w:u w:val="single"/>
        </w:rPr>
        <w:t>ý</w:t>
      </w:r>
      <w:r w:rsidRPr="001C542F">
        <w:rPr>
          <w:b/>
          <w:u w:val="single"/>
        </w:rPr>
        <w:t>t p</w:t>
      </w:r>
      <w:r w:rsidRPr="001C542F">
        <w:rPr>
          <w:rFonts w:ascii="Calibri" w:hAnsi="Calibri" w:cs="Calibri"/>
          <w:b/>
          <w:u w:val="single"/>
        </w:rPr>
        <w:t>ř</w:t>
      </w:r>
      <w:r w:rsidRPr="001C542F">
        <w:rPr>
          <w:b/>
          <w:u w:val="single"/>
        </w:rPr>
        <w:t>em</w:t>
      </w:r>
      <w:r w:rsidRPr="001C542F">
        <w:rPr>
          <w:rFonts w:ascii="Calibri" w:hAnsi="Calibri" w:cs="Calibri"/>
          <w:b/>
          <w:u w:val="single"/>
        </w:rPr>
        <w:t>ě</w:t>
      </w:r>
      <w:r w:rsidRPr="001C542F">
        <w:rPr>
          <w:b/>
          <w:u w:val="single"/>
        </w:rPr>
        <w:t>n</w:t>
      </w:r>
      <w:r w:rsidRPr="001C542F">
        <w:rPr>
          <w:rFonts w:ascii="Calibri" w:hAnsi="Calibri" w:cs="Calibri"/>
          <w:b/>
          <w:u w:val="single"/>
        </w:rPr>
        <w:t>ě</w:t>
      </w:r>
      <w:r w:rsidRPr="001C542F">
        <w:rPr>
          <w:b/>
          <w:u w:val="single"/>
        </w:rPr>
        <w:t>na tak, aby vyst</w:t>
      </w:r>
      <w:r w:rsidRPr="001C542F">
        <w:rPr>
          <w:rFonts w:ascii="Calibri" w:hAnsi="Calibri" w:cs="Calibri"/>
          <w:b/>
          <w:u w:val="single"/>
        </w:rPr>
        <w:t>ř</w:t>
      </w:r>
      <w:r w:rsidRPr="001C542F">
        <w:rPr>
          <w:b/>
          <w:u w:val="single"/>
        </w:rPr>
        <w:t>elovala hromadnou nebo jednotnou st</w:t>
      </w:r>
      <w:r w:rsidRPr="001C542F">
        <w:rPr>
          <w:rFonts w:ascii="Calibri" w:hAnsi="Calibri" w:cs="Calibri"/>
          <w:b/>
          <w:u w:val="single"/>
        </w:rPr>
        <w:t>ř</w:t>
      </w:r>
      <w:r w:rsidRPr="001C542F">
        <w:rPr>
          <w:b/>
          <w:u w:val="single"/>
        </w:rPr>
        <w:t>elu nebo jin</w:t>
      </w:r>
      <w:r w:rsidRPr="001C542F">
        <w:rPr>
          <w:rFonts w:ascii="Calibri" w:hAnsi="Calibri" w:cs="Calibri"/>
          <w:b/>
          <w:u w:val="single"/>
        </w:rPr>
        <w:t>ý</w:t>
      </w:r>
      <w:r w:rsidRPr="001C542F">
        <w:rPr>
          <w:b/>
          <w:u w:val="single"/>
        </w:rPr>
        <w:t xml:space="preserve"> projektil p</w:t>
      </w:r>
      <w:r w:rsidRPr="001C542F">
        <w:rPr>
          <w:rFonts w:ascii="Calibri" w:hAnsi="Calibri" w:cs="Calibri"/>
          <w:b/>
          <w:u w:val="single"/>
        </w:rPr>
        <w:t>ů</w:t>
      </w:r>
      <w:r w:rsidRPr="001C542F">
        <w:rPr>
          <w:b/>
          <w:u w:val="single"/>
        </w:rPr>
        <w:t>sobením okamžitého uvolnění chemické energie ;</w:t>
      </w:r>
    </w:p>
    <w:p w:rsidR="001C542F" w:rsidRPr="001C542F" w:rsidRDefault="001C542F" w:rsidP="00F20A42">
      <w:pPr>
        <w:ind w:left="708"/>
        <w:jc w:val="both"/>
        <w:rPr>
          <w:b/>
          <w:u w:val="single"/>
        </w:rPr>
      </w:pPr>
      <w:r w:rsidRPr="001C542F">
        <w:rPr>
          <w:b/>
          <w:u w:val="single"/>
        </w:rPr>
        <w:t>5) „salutními a akustickými zbraněmi“ palné zbraně zvlášť přeměněné ke střelbě pouze s využitím nábojek nebo cvičných nábojů, pro použití například při divadelních představeních, fotografování, při filmových a televizních záznamech, rekonstrukcích historických událostí, přehlídkách, sportovních akcích a výcviku;</w:t>
      </w:r>
    </w:p>
    <w:p w:rsidR="001C542F" w:rsidRPr="001C542F" w:rsidRDefault="001C542F" w:rsidP="00F20A42">
      <w:pPr>
        <w:ind w:left="708"/>
        <w:jc w:val="both"/>
        <w:rPr>
          <w:b/>
          <w:u w:val="single"/>
        </w:rPr>
      </w:pPr>
      <w:r w:rsidRPr="001C542F">
        <w:rPr>
          <w:b/>
          <w:u w:val="single"/>
        </w:rPr>
        <w:t>6) „znehodnocenými palnými zbraněmi“ palné zbraně, které byly učiněny trvale nepoužitelnými, přičemž je zajištěno, že všechny hlavní části palné zbraně jsou trvale nepoužitelné a není možné je odstranit, nahradit nebo upravit tak, aby mohla být palná zbraň jakkoli uschopněna ke střelbě;</w:t>
      </w:r>
    </w:p>
    <w:p w:rsidR="001C542F" w:rsidRPr="001C542F" w:rsidRDefault="001C542F" w:rsidP="00F20A42">
      <w:pPr>
        <w:ind w:left="708"/>
        <w:jc w:val="both"/>
        <w:rPr>
          <w:b/>
          <w:u w:val="single"/>
        </w:rPr>
      </w:pPr>
      <w:r w:rsidRPr="001C542F">
        <w:rPr>
          <w:b/>
          <w:u w:val="single"/>
        </w:rPr>
        <w:t xml:space="preserve"> 7) „muzeem“ stálá instituce působící v zájmu společnosti a jejího rozvoje, přístupná veřejnosti, která nabývá, konzervuje, zkoumá a vystavuje palné zbraně, jejich hlavní části nebo střelivo pro historické, kulturní, vědecké, technické, vzdělávací, památkové a rekreační účely a byla jako taková uznána členským státem;</w:t>
      </w:r>
    </w:p>
    <w:p w:rsidR="001C542F" w:rsidRPr="001C542F" w:rsidRDefault="001C542F" w:rsidP="00F20A42">
      <w:pPr>
        <w:ind w:left="708"/>
        <w:jc w:val="both"/>
        <w:rPr>
          <w:b/>
          <w:u w:val="single"/>
        </w:rPr>
      </w:pPr>
      <w:r w:rsidRPr="001C542F">
        <w:rPr>
          <w:b/>
          <w:u w:val="single"/>
        </w:rPr>
        <w:lastRenderedPageBreak/>
        <w:t>8) „sběratelem“ každá fyzická nebo právnická osoba, která se věnuje shromažďování a konzervaci palných zbraní, jejich hlavních částí nebo střeliva pro historické, kulturní, vědecké, technické, vzdělávací nebo památkové účely a byla jako taková uznána členským státem;</w:t>
      </w:r>
    </w:p>
    <w:p w:rsidR="001C542F" w:rsidRPr="001C542F" w:rsidRDefault="001C542F" w:rsidP="00F20A42">
      <w:pPr>
        <w:ind w:left="708"/>
        <w:jc w:val="both"/>
        <w:rPr>
          <w:b/>
          <w:u w:val="single"/>
        </w:rPr>
      </w:pPr>
      <w:r w:rsidRPr="001C542F">
        <w:rPr>
          <w:b/>
          <w:u w:val="single"/>
        </w:rPr>
        <w:t xml:space="preserve"> 9) „podnikatelem v oboru zbraní“ fyzická nebo právnická osoba, jejíž podnikatelskou činnost zcela nebo zčásti tvoří kterákoli z těchto činností:</w:t>
      </w:r>
    </w:p>
    <w:p w:rsidR="001C542F" w:rsidRPr="001C542F" w:rsidRDefault="001C542F" w:rsidP="00F20A42">
      <w:pPr>
        <w:ind w:left="1416"/>
        <w:jc w:val="both"/>
        <w:rPr>
          <w:b/>
          <w:u w:val="single"/>
        </w:rPr>
      </w:pPr>
      <w:r w:rsidRPr="001C542F">
        <w:rPr>
          <w:b/>
          <w:u w:val="single"/>
        </w:rPr>
        <w:t xml:space="preserve">  a) výroba palných zbraní nebo jejich hlavních částí , obchodování s nimi, jejich výměna, půjčování, opravy, úpravy nebo přeměna;</w:t>
      </w:r>
    </w:p>
    <w:p w:rsidR="001C542F" w:rsidRPr="001C542F" w:rsidRDefault="001C542F" w:rsidP="00F20A42">
      <w:pPr>
        <w:ind w:left="1416"/>
        <w:jc w:val="both"/>
        <w:rPr>
          <w:b/>
          <w:u w:val="single"/>
        </w:rPr>
      </w:pPr>
      <w:r w:rsidRPr="001C542F">
        <w:rPr>
          <w:b/>
          <w:u w:val="single"/>
        </w:rPr>
        <w:t xml:space="preserve">  b) výroba střeliva, obchodování s ním, jeho výměna, úprava nebo přeměna;</w:t>
      </w:r>
    </w:p>
    <w:p w:rsidR="001C542F" w:rsidRPr="001C542F" w:rsidRDefault="001C542F" w:rsidP="00F20A42">
      <w:pPr>
        <w:ind w:left="708"/>
        <w:jc w:val="both"/>
        <w:rPr>
          <w:b/>
          <w:u w:val="single"/>
        </w:rPr>
      </w:pPr>
      <w:r w:rsidRPr="001C542F">
        <w:rPr>
          <w:b/>
          <w:u w:val="single"/>
        </w:rPr>
        <w:t>10) „zprostředkovatelem“ každá fyzická nebo právnická osoba kromě podnikatele v oboru zbraní, jejíž obchodní a podnikatelskou činnost zcela nebo zčásti tvoří kterákoli z těchto činností:</w:t>
      </w:r>
    </w:p>
    <w:p w:rsidR="001C542F" w:rsidRPr="001C542F" w:rsidRDefault="001C542F" w:rsidP="00F20A42">
      <w:pPr>
        <w:ind w:left="1416"/>
        <w:jc w:val="both"/>
        <w:rPr>
          <w:b/>
          <w:u w:val="single"/>
        </w:rPr>
      </w:pPr>
      <w:r w:rsidRPr="001C542F">
        <w:rPr>
          <w:b/>
          <w:u w:val="single"/>
        </w:rPr>
        <w:t xml:space="preserve">  a) sjednávání nebo organizace transakcí týkajících se nákupu, prodeje nebo dodávek palných zbraní, jejich hlavních částí nebo střeliva;</w:t>
      </w:r>
    </w:p>
    <w:p w:rsidR="001C542F" w:rsidRPr="001C542F" w:rsidRDefault="001C542F" w:rsidP="00F20A42">
      <w:pPr>
        <w:ind w:left="1416"/>
        <w:jc w:val="both"/>
        <w:rPr>
          <w:b/>
          <w:u w:val="single"/>
        </w:rPr>
      </w:pPr>
      <w:r w:rsidRPr="001C542F">
        <w:rPr>
          <w:b/>
          <w:u w:val="single"/>
        </w:rPr>
        <w:t xml:space="preserve">  b) organizace převodu palných zbraní, jejich hlavních částí nebo střeliva uvnitř členského státu nebo z jednoho členského státu do jiného členského státu, z členského státu do třetí země nebo ze třetí země do členského státu ;</w:t>
      </w:r>
    </w:p>
    <w:p w:rsidR="001C542F" w:rsidRPr="001C542F" w:rsidRDefault="001C542F" w:rsidP="00F20A42">
      <w:pPr>
        <w:ind w:left="708"/>
        <w:jc w:val="both"/>
        <w:rPr>
          <w:b/>
          <w:u w:val="single"/>
        </w:rPr>
      </w:pPr>
      <w:r w:rsidRPr="001C542F">
        <w:rPr>
          <w:b/>
          <w:u w:val="single"/>
        </w:rPr>
        <w:t>11) „nedovolenou výrobou“ výroba nebo montáž palných zbraní, jejich hlavních částí a střeliva:</w:t>
      </w:r>
    </w:p>
    <w:p w:rsidR="001C542F" w:rsidRPr="001C542F" w:rsidRDefault="001C542F" w:rsidP="00F20A42">
      <w:pPr>
        <w:ind w:left="1416"/>
        <w:jc w:val="both"/>
        <w:rPr>
          <w:b/>
          <w:u w:val="single"/>
        </w:rPr>
      </w:pPr>
      <w:r w:rsidRPr="001C542F">
        <w:rPr>
          <w:b/>
          <w:u w:val="single"/>
        </w:rPr>
        <w:t xml:space="preserve">  a) z jakékoli hlavní části těchto palných zbraní, které jsou předmětem nedovoleného obchodování,</w:t>
      </w:r>
    </w:p>
    <w:p w:rsidR="001C542F" w:rsidRPr="001C542F" w:rsidRDefault="001C542F" w:rsidP="00F20A42">
      <w:pPr>
        <w:ind w:left="1416"/>
        <w:jc w:val="both"/>
        <w:rPr>
          <w:b/>
          <w:u w:val="single"/>
        </w:rPr>
      </w:pPr>
      <w:r w:rsidRPr="001C542F">
        <w:rPr>
          <w:b/>
          <w:u w:val="single"/>
        </w:rPr>
        <w:t xml:space="preserve">  b) bez povolení vydaného v souladu s článkem 4 příslušným orgánem členského státu, ve kterém výroba nebo montáž probíhá, nebo</w:t>
      </w:r>
    </w:p>
    <w:p w:rsidR="001C542F" w:rsidRPr="001C542F" w:rsidRDefault="001C542F" w:rsidP="00F20A42">
      <w:pPr>
        <w:ind w:left="1416"/>
        <w:jc w:val="both"/>
        <w:rPr>
          <w:b/>
          <w:u w:val="single"/>
        </w:rPr>
      </w:pPr>
      <w:r w:rsidRPr="001C542F">
        <w:rPr>
          <w:b/>
          <w:u w:val="single"/>
        </w:rPr>
        <w:t xml:space="preserve">  c) bez označení palných zbraní v okamžiku jejich výroby v souladu s článkem 4;</w:t>
      </w:r>
    </w:p>
    <w:p w:rsidR="001C542F" w:rsidRPr="001C542F" w:rsidRDefault="001C542F" w:rsidP="00F20A42">
      <w:pPr>
        <w:ind w:left="708"/>
        <w:jc w:val="both"/>
        <w:rPr>
          <w:b/>
          <w:u w:val="single"/>
        </w:rPr>
      </w:pPr>
      <w:r w:rsidRPr="001C542F">
        <w:rPr>
          <w:b/>
          <w:u w:val="single"/>
        </w:rPr>
        <w:t>12) „nedovoleným obchodováním“ nabývání, prodej, dodávání, přeprava nebo převod palných zbraní, jejich hlavních částí nebo střeliva z území jednoho členského státu nebo přes jeho území na území jiného členského státu, pokud to některý z dotčených členských států nepovoluje v souladu s touto směrnicí nebo pokud palné zbraně, jejich hlavní části nebo střelivo nejsou označeny v souladu s článkem 4;</w:t>
      </w:r>
    </w:p>
    <w:p w:rsidR="001C542F" w:rsidRPr="001C542F" w:rsidRDefault="001C542F" w:rsidP="00F20A42">
      <w:pPr>
        <w:ind w:left="708"/>
        <w:jc w:val="both"/>
        <w:rPr>
          <w:b/>
          <w:u w:val="single"/>
        </w:rPr>
      </w:pPr>
      <w:r w:rsidRPr="001C542F">
        <w:rPr>
          <w:b/>
          <w:u w:val="single"/>
        </w:rPr>
        <w:t>13) „sledováním“ systematické sledování palných zbraní a tam, kde je to možné, jejich hlavních částí a střeliva od výrobce ke kupujícímu za účelem pomoci příslušným orgánům členských států zjistit, vyšetřit a analyzovat nedovolenou výrobu a nedovolené obchodování.</w:t>
      </w:r>
    </w:p>
    <w:p w:rsidR="001C542F" w:rsidRPr="001C542F" w:rsidRDefault="001C542F" w:rsidP="00F20A42">
      <w:pPr>
        <w:jc w:val="both"/>
        <w:rPr>
          <w:b/>
          <w:u w:val="single"/>
        </w:rPr>
      </w:pPr>
      <w:r w:rsidRPr="001C542F">
        <w:rPr>
          <w:b/>
          <w:u w:val="single"/>
        </w:rPr>
        <w:t xml:space="preserve">2. Pro účely této směrnice se má za to, že osoba má bydliště v té zemi, která je uvedena v adrese zapsané v úředním dokladu prokazujícím bydliště, zejména v cestovním pasu nebo vnitrostátním průkazu totožnosti, který se při kontrole nabývání nebo držení zbraně předkládá příslušným orgánům členského státu nebo podnikateli v oboru zbraní či zprostředkovateli. Pokud není adresa </w:t>
      </w:r>
      <w:r w:rsidRPr="001C542F">
        <w:rPr>
          <w:b/>
          <w:u w:val="single"/>
        </w:rPr>
        <w:lastRenderedPageBreak/>
        <w:t>osoby uvedena v jejím cestovním pasu či vnitrostátním průkazu totožnosti, země bydliště se určí na základě jiného úředního dokladu o bydlišti uznávaného příslušným členským státem.</w:t>
      </w:r>
    </w:p>
    <w:p w:rsidR="001C542F" w:rsidRPr="001C542F" w:rsidRDefault="001C542F" w:rsidP="00F20A42">
      <w:pPr>
        <w:jc w:val="both"/>
        <w:rPr>
          <w:b/>
        </w:rPr>
      </w:pPr>
      <w:r w:rsidRPr="001C542F">
        <w:rPr>
          <w:b/>
          <w:u w:val="single"/>
        </w:rPr>
        <w:t>3. „Evropský zbrojní pas“ je doklad, který vydávají příslušné orgány členského státu na žádost osoby, která se v souladu se zákonem stane držitelem a uživatelem palné zbraně. Doba jeho platnosti činí nejvýše pět let a může být prodloužena a evropský zbrojní pas obsahuje informace stanovené v příloze II. Evropský zbrojní pas je nepřenosný doklad, v němž je uvedena palná zbraň nebo palné zbraně, které drží a užívá držitel zbrojního pasu. Uživatel palné zbraně musí mít evropský zbrojní pas stále ve svém držení a v tomto pasu se vyznačují změny držení nebo charakteristiky palné zbraně, jakož i ztráta nebo krádež palné zbraně.</w:t>
      </w:r>
    </w:p>
    <w:p w:rsidR="00972824" w:rsidRPr="001C542F" w:rsidRDefault="00972824" w:rsidP="00F20A42">
      <w:pPr>
        <w:jc w:val="both"/>
        <w:rPr>
          <w:strike/>
        </w:rPr>
      </w:pPr>
      <w:r w:rsidRPr="001C542F">
        <w:rPr>
          <w:strike/>
        </w:rPr>
        <w:t>1.  Pro účely této směrnice se „ palnou zbraní“ rozumí jakákoli ruční zbraň s hlavní, která vystřeluje nebo je konstruována či může být upravena tak, aby vystřelovala jednotnou, hromadnou nebo plynovou střelu (obecně projektil) působením okamžitého uvolnění chemické energie, není-li vyloučena z některého z důvodů uvedených v části III přílohy I. </w:t>
      </w:r>
      <w:hyperlink r:id="rId8" w:tooltip="32008L0051R(04): REPLACED" w:history="1"/>
      <w:r w:rsidRPr="001C542F">
        <w:rPr>
          <w:strike/>
        </w:rPr>
        <w:t xml:space="preserve"> Palné zbraně</w:t>
      </w:r>
      <w:r w:rsidRPr="001C542F">
        <w:rPr>
          <w:b/>
          <w:bCs/>
          <w:strike/>
        </w:rPr>
        <w:t> </w:t>
      </w:r>
      <w:r w:rsidRPr="001C542F">
        <w:rPr>
          <w:strike/>
        </w:rPr>
        <w:t>se dělí do kategorií podle části II přílohy I.</w:t>
      </w:r>
    </w:p>
    <w:p w:rsidR="00972824" w:rsidRPr="001C542F" w:rsidRDefault="00972824" w:rsidP="00F20A42">
      <w:pPr>
        <w:jc w:val="both"/>
        <w:rPr>
          <w:strike/>
        </w:rPr>
      </w:pPr>
      <w:r w:rsidRPr="001C542F">
        <w:rPr>
          <w:strike/>
        </w:rPr>
        <w:t>Pro účely této směrnice se má za to, že zbraň lze uschopnit ke střelbě projektilem působením okamžitého uvolnění chemické energie, jestliže</w:t>
      </w:r>
    </w:p>
    <w:p w:rsidR="00972824" w:rsidRPr="001C542F" w:rsidRDefault="00972824" w:rsidP="00F20A42">
      <w:pPr>
        <w:jc w:val="both"/>
        <w:rPr>
          <w:strike/>
        </w:rPr>
      </w:pPr>
      <w:r w:rsidRPr="001C542F">
        <w:rPr>
          <w:strike/>
        </w:rPr>
        <w:t>— má vzhled </w:t>
      </w:r>
      <w:hyperlink r:id="rId9" w:tooltip="32008L0051R(04): REPLACED" w:history="1"/>
      <w:r w:rsidRPr="001C542F">
        <w:rPr>
          <w:strike/>
        </w:rPr>
        <w:t>palné zbraně</w:t>
      </w:r>
      <w:r w:rsidRPr="001C542F">
        <w:rPr>
          <w:b/>
          <w:bCs/>
          <w:strike/>
        </w:rPr>
        <w:t> </w:t>
      </w:r>
      <w:r w:rsidRPr="001C542F">
        <w:rPr>
          <w:strike/>
        </w:rPr>
        <w:t>a</w:t>
      </w:r>
    </w:p>
    <w:p w:rsidR="00972824" w:rsidRPr="001C542F" w:rsidRDefault="00972824" w:rsidP="00F20A42">
      <w:pPr>
        <w:jc w:val="both"/>
        <w:rPr>
          <w:strike/>
        </w:rPr>
      </w:pPr>
      <w:r w:rsidRPr="001C542F">
        <w:rPr>
          <w:strike/>
        </w:rPr>
        <w:t>— v důsledku své konstrukce nebo materiálu, z něhož je vyrobena, může být uschopněna ke střelbě.</w:t>
      </w:r>
    </w:p>
    <w:p w:rsidR="00972824" w:rsidRPr="001C542F" w:rsidRDefault="00972824" w:rsidP="00F20A42">
      <w:pPr>
        <w:jc w:val="both"/>
        <w:rPr>
          <w:strike/>
        </w:rPr>
      </w:pPr>
      <w:r w:rsidRPr="001C542F">
        <w:rPr>
          <w:strike/>
        </w:rPr>
        <w:t>1a.  Pro účely této směrnice se „součástí“ rozumí jakákoli součást nebo náhradní součást zvlášť zkonstruovaná pro </w:t>
      </w:r>
      <w:hyperlink r:id="rId10" w:tooltip="32008L0051R(04): REPLACED" w:history="1"/>
      <w:r w:rsidRPr="001C542F">
        <w:rPr>
          <w:strike/>
        </w:rPr>
        <w:t>palnou zbraň</w:t>
      </w:r>
      <w:r w:rsidRPr="001C542F">
        <w:rPr>
          <w:b/>
          <w:bCs/>
          <w:strike/>
        </w:rPr>
        <w:t> </w:t>
      </w:r>
      <w:r w:rsidRPr="001C542F">
        <w:rPr>
          <w:strike/>
        </w:rPr>
        <w:t>a nezbytná pro její funkci včetně hlavně, rámu, pouzdra závěru, závěru nebo nábojového válce revolveru, závorníku, nosiče závorníku a jakéhokoli zařízení zkonstruovaného nebo upraveného k utlumení hluku výstřelu.</w:t>
      </w:r>
    </w:p>
    <w:p w:rsidR="00972824" w:rsidRPr="001C542F" w:rsidRDefault="00972824" w:rsidP="00F20A42">
      <w:pPr>
        <w:jc w:val="both"/>
        <w:rPr>
          <w:strike/>
        </w:rPr>
      </w:pPr>
      <w:r w:rsidRPr="001C542F">
        <w:rPr>
          <w:strike/>
        </w:rPr>
        <w:t>1b.  Pro účely této směrnice se „hlavní částí“ rozumí mechanismus závěru, nábojová komora a hlaveň palné zbraně, které se, jako oddělené předměty, zahrnují do kategorie těch palných zbraní, kterých jsou nebo mají být součástí.</w:t>
      </w:r>
    </w:p>
    <w:p w:rsidR="00972824" w:rsidRPr="001C542F" w:rsidRDefault="00972824" w:rsidP="00F20A42">
      <w:pPr>
        <w:jc w:val="both"/>
        <w:rPr>
          <w:strike/>
        </w:rPr>
      </w:pPr>
      <w:r w:rsidRPr="001C542F">
        <w:rPr>
          <w:strike/>
        </w:rPr>
        <w:t>1c.  Pro účely této směrnice se „střelivem“ rozumí kompletní náboj nebo jeho komponenty, jako jsou nábojnice, zápalky, výmetné náplně nebo projektily, které se používají ve palných zbraních, za podmínky, že tyto komponenty samotné podléhají v příslušném členském státě povolení.</w:t>
      </w:r>
    </w:p>
    <w:p w:rsidR="00972824" w:rsidRPr="001C542F" w:rsidRDefault="00972824" w:rsidP="00F20A42">
      <w:pPr>
        <w:jc w:val="both"/>
        <w:rPr>
          <w:strike/>
        </w:rPr>
      </w:pPr>
      <w:r w:rsidRPr="001C542F">
        <w:rPr>
          <w:strike/>
        </w:rPr>
        <w:t>1d.  Pro účely této směrnice se „sledováním“ rozumí systematické sledování palných zbraní</w:t>
      </w:r>
      <w:r w:rsidRPr="001C542F">
        <w:rPr>
          <w:b/>
          <w:bCs/>
          <w:strike/>
        </w:rPr>
        <w:t> </w:t>
      </w:r>
      <w:r w:rsidRPr="001C542F">
        <w:rPr>
          <w:strike/>
        </w:rPr>
        <w:t>a tam, kde je to možné, jejich součástí a střeliva od výrobce ke kupujícímu za účelem pomoci příslušným orgánům členských států zjistit, vyšetřit a analyzovat nedovolenou výrobu a nedovolené obchodování.</w:t>
      </w:r>
    </w:p>
    <w:p w:rsidR="00972824" w:rsidRPr="001C542F" w:rsidRDefault="00972824" w:rsidP="00F20A42">
      <w:pPr>
        <w:jc w:val="both"/>
        <w:rPr>
          <w:strike/>
        </w:rPr>
      </w:pPr>
      <w:r w:rsidRPr="001C542F">
        <w:rPr>
          <w:strike/>
        </w:rPr>
        <w:t>1e.  Pro účely této směrnice se „zprostředkovatelem“ rozumí fyzická nebo právnická osoba kromě podnikatele v oboru zbraní, jejíž podnikatelskou činnost zcela nebo zčásti tvoří nákup, prodej nebo organizace převodu zbraní.</w:t>
      </w:r>
    </w:p>
    <w:p w:rsidR="00972824" w:rsidRPr="001C542F" w:rsidRDefault="00972824" w:rsidP="00F20A42">
      <w:pPr>
        <w:jc w:val="both"/>
        <w:rPr>
          <w:strike/>
        </w:rPr>
      </w:pPr>
      <w:r w:rsidRPr="001C542F">
        <w:rPr>
          <w:strike/>
        </w:rPr>
        <w:t>2.  Pro účely této směrnice se „podnikatelem v oboru zbraní“ rozumí fyzická nebo právnická osoba, jejíž podnikatelskou činnost zcela nebo zčásti tvoří výroba palných zbraní, jejich součástí a střeliva, obchodování s nimi, jejich výměna, pronájem, opravy nebo úpravy.</w:t>
      </w:r>
    </w:p>
    <w:p w:rsidR="00972824" w:rsidRPr="001C542F" w:rsidRDefault="00972824" w:rsidP="00F20A42">
      <w:pPr>
        <w:jc w:val="both"/>
        <w:rPr>
          <w:strike/>
        </w:rPr>
      </w:pPr>
      <w:r w:rsidRPr="001C542F">
        <w:rPr>
          <w:strike/>
        </w:rPr>
        <w:lastRenderedPageBreak/>
        <w:t>2a.  Pro účely této směrnice se „nedovolenou výrobou“ rozumí výroba nebo montáž palných zbraní, jejich součástí a střeliva</w:t>
      </w:r>
    </w:p>
    <w:p w:rsidR="00972824" w:rsidRPr="001C542F" w:rsidRDefault="00972824" w:rsidP="00F20A42">
      <w:pPr>
        <w:jc w:val="both"/>
        <w:rPr>
          <w:strike/>
        </w:rPr>
      </w:pPr>
      <w:r w:rsidRPr="001C542F">
        <w:rPr>
          <w:strike/>
        </w:rPr>
        <w:t>i) z jakékoli hlavní části těchto  palných zbraní, která je předmětem nedovoleného obchodování,</w:t>
      </w:r>
    </w:p>
    <w:p w:rsidR="00972824" w:rsidRPr="001C542F" w:rsidRDefault="00972824" w:rsidP="00F20A42">
      <w:pPr>
        <w:jc w:val="both"/>
        <w:rPr>
          <w:strike/>
        </w:rPr>
      </w:pPr>
      <w:r w:rsidRPr="001C542F">
        <w:rPr>
          <w:strike/>
        </w:rPr>
        <w:t>ii) bez povolení vydaného v souladu s článkem 4 příslušným orgánem členského státu, ve kterém výroba nebo montáž probíhá, nebo</w:t>
      </w:r>
    </w:p>
    <w:p w:rsidR="00972824" w:rsidRPr="001C542F" w:rsidRDefault="00972824" w:rsidP="00F20A42">
      <w:pPr>
        <w:jc w:val="both"/>
        <w:rPr>
          <w:strike/>
        </w:rPr>
      </w:pPr>
      <w:r w:rsidRPr="001C542F">
        <w:rPr>
          <w:strike/>
        </w:rPr>
        <w:t>iii) bez označení smontovaných palných zbraní</w:t>
      </w:r>
      <w:r w:rsidRPr="001C542F">
        <w:rPr>
          <w:b/>
          <w:bCs/>
          <w:strike/>
        </w:rPr>
        <w:t> </w:t>
      </w:r>
      <w:r w:rsidRPr="001C542F">
        <w:rPr>
          <w:strike/>
        </w:rPr>
        <w:t>v okamžiku jejich výroby v souladu s čl. 4 odst. 1.</w:t>
      </w:r>
    </w:p>
    <w:p w:rsidR="00972824" w:rsidRPr="001C542F" w:rsidRDefault="00972824" w:rsidP="00F20A42">
      <w:pPr>
        <w:jc w:val="both"/>
        <w:rPr>
          <w:strike/>
        </w:rPr>
      </w:pPr>
      <w:r w:rsidRPr="001C542F">
        <w:rPr>
          <w:strike/>
        </w:rPr>
        <w:t>2b.  Pro účely této směrnice se „nedovoleným obchodováním“ rozumí nabývání, prodej, dodávání, přeprava nebo převod palných zbraní, jejich součástí nebo střeliva z území jednoho členského státu nebo přes jeho území na území jiného členského státu, pokud to některý z dotčených členských států nepovoluje v souladu s touto směrnicí nebo pokud smontované palné zbraně</w:t>
      </w:r>
      <w:r w:rsidRPr="001C542F">
        <w:rPr>
          <w:b/>
          <w:bCs/>
          <w:strike/>
        </w:rPr>
        <w:t> </w:t>
      </w:r>
      <w:r w:rsidRPr="001C542F">
        <w:rPr>
          <w:strike/>
        </w:rPr>
        <w:t>nejsou označeny v souladu s čl. 4 odst. 1.</w:t>
      </w:r>
    </w:p>
    <w:p w:rsidR="00972824" w:rsidRPr="001C542F" w:rsidRDefault="00972824" w:rsidP="00F20A42">
      <w:pPr>
        <w:jc w:val="both"/>
        <w:rPr>
          <w:strike/>
        </w:rPr>
      </w:pPr>
      <w:r w:rsidRPr="001C542F">
        <w:rPr>
          <w:strike/>
        </w:rPr>
        <w:t>3.  Pro účely této směrnice se má za to, že osoba má bydliště v té zemi, která je uvedena v adrese zapsané v dokladu prokazujícím bydliště, zejména v pasu nebo průkazu totožnosti, který se při kontrole držení nebo při nabývání zbraně předkládá orgánům členského státu nebo podnikateli v oboru zbraní.</w:t>
      </w:r>
    </w:p>
    <w:p w:rsidR="00972824" w:rsidRPr="001C542F" w:rsidRDefault="00972824" w:rsidP="00F20A42">
      <w:pPr>
        <w:jc w:val="both"/>
        <w:rPr>
          <w:strike/>
        </w:rPr>
      </w:pPr>
      <w:r w:rsidRPr="001C542F">
        <w:rPr>
          <w:strike/>
        </w:rPr>
        <w:t>4.  „Evropský zbrojní pas“ je doklad, který vydávají orgány členských států na žádost osoby, která se v souladu se zákonem stane držitelem a uživatelem palné zbraně. Doba jeho platnosti činí nejvýše pět let a může být prodloužena a evropský zbrojní pas obsahuje informace stanovené v příloze II. Evropský zbrojní pas je nepřenosný doklad, v němž je uvedena palná zbraň</w:t>
      </w:r>
      <w:r w:rsidRPr="001C542F">
        <w:rPr>
          <w:b/>
          <w:bCs/>
          <w:strike/>
        </w:rPr>
        <w:t> </w:t>
      </w:r>
      <w:r w:rsidRPr="001C542F">
        <w:rPr>
          <w:strike/>
        </w:rPr>
        <w:t>nebo palné zbraně, které drží a užívá držitel zbrojního pasu. Uživatel palné zbraně</w:t>
      </w:r>
      <w:r w:rsidRPr="001C542F">
        <w:rPr>
          <w:b/>
          <w:bCs/>
          <w:strike/>
        </w:rPr>
        <w:t> </w:t>
      </w:r>
      <w:r w:rsidRPr="001C542F">
        <w:rPr>
          <w:strike/>
        </w:rPr>
        <w:t>musí mít evropský zbrojní pas stále ve svém držení a v tomto pasu se vyznačují změny držení nebo charakteristiky palné zbraně, jakož i ztráta nebo krádež palné zbraně.</w:t>
      </w:r>
    </w:p>
    <w:p w:rsidR="00972824" w:rsidRDefault="00972824" w:rsidP="00972824">
      <w:pPr>
        <w:rPr>
          <w:i/>
          <w:iCs/>
        </w:rPr>
      </w:pPr>
    </w:p>
    <w:p w:rsidR="00972824" w:rsidRPr="00225BF7" w:rsidRDefault="00972824" w:rsidP="00225BF7">
      <w:pPr>
        <w:jc w:val="center"/>
        <w:rPr>
          <w:b/>
          <w:i/>
          <w:iCs/>
        </w:rPr>
      </w:pPr>
      <w:r w:rsidRPr="00225BF7">
        <w:rPr>
          <w:b/>
          <w:i/>
          <w:iCs/>
        </w:rPr>
        <w:t>Článek 2</w:t>
      </w:r>
    </w:p>
    <w:p w:rsidR="00F422B3" w:rsidRPr="00F422B3" w:rsidRDefault="00F422B3" w:rsidP="00F20A42">
      <w:pPr>
        <w:jc w:val="both"/>
        <w:rPr>
          <w:b/>
          <w:u w:val="single"/>
        </w:rPr>
      </w:pPr>
      <w:r w:rsidRPr="00F422B3">
        <w:rPr>
          <w:b/>
          <w:u w:val="single"/>
        </w:rPr>
        <w:t>1.  Touto směrnicí není dotčeno použití vnitrostátních předpisů týkajících se nošení zbraní, lovu nebo sportovní střelby za použití zbraní zákonně nabytých a držených v souladu s touto směrnicí.</w:t>
      </w:r>
    </w:p>
    <w:p w:rsidR="001C542F" w:rsidRDefault="00F422B3" w:rsidP="00F20A42">
      <w:pPr>
        <w:jc w:val="both"/>
      </w:pPr>
      <w:r w:rsidRPr="00F422B3">
        <w:rPr>
          <w:b/>
          <w:u w:val="single"/>
        </w:rPr>
        <w:t>2.  Tato směrnice se nevztahuje na nabývání nebo držení palných zbraní a střeliva v souladu s vnitrostátními předpisy ozbrojenými silami, policií nebo orgány veřejné moci. Rovněž se nevztahuje na transfery, které upravuje směrnice Evropského parlamentu a Rady 2009/43/ES</w:t>
      </w:r>
      <w:r w:rsidRPr="00F422B3">
        <w:rPr>
          <w:rStyle w:val="Znakapoznpodarou"/>
          <w:b/>
          <w:i/>
          <w:iCs/>
          <w:u w:val="single"/>
        </w:rPr>
        <w:footnoteReference w:id="2"/>
      </w:r>
      <w:r w:rsidRPr="00F422B3">
        <w:rPr>
          <w:b/>
          <w:u w:val="single"/>
          <w:vertAlign w:val="superscript"/>
        </w:rPr>
        <w:t>)</w:t>
      </w:r>
      <w:r>
        <w:rPr>
          <w:b/>
          <w:u w:val="single"/>
        </w:rPr>
        <w:t>.</w:t>
      </w:r>
    </w:p>
    <w:p w:rsidR="00972824" w:rsidRPr="001C542F" w:rsidRDefault="00972824" w:rsidP="00F20A42">
      <w:pPr>
        <w:jc w:val="both"/>
        <w:rPr>
          <w:strike/>
        </w:rPr>
      </w:pPr>
      <w:r w:rsidRPr="001C542F">
        <w:rPr>
          <w:strike/>
        </w:rPr>
        <w:t>1.  Touto směrnicí není dotčeno použití vnitrostátních předpisů týkajících se nošení zbraní nebo úpravy lovu nebo sportovní střelby.</w:t>
      </w:r>
    </w:p>
    <w:p w:rsidR="00972824" w:rsidRPr="00972824" w:rsidRDefault="00972824" w:rsidP="00F20A42">
      <w:pPr>
        <w:jc w:val="both"/>
      </w:pPr>
      <w:r w:rsidRPr="001C542F">
        <w:rPr>
          <w:strike/>
        </w:rPr>
        <w:t>2.  Tato směrnice se nevztahuje na nabývání nebo držení palných zbraní</w:t>
      </w:r>
      <w:r w:rsidRPr="001C542F">
        <w:rPr>
          <w:b/>
          <w:bCs/>
          <w:strike/>
        </w:rPr>
        <w:t> </w:t>
      </w:r>
      <w:r w:rsidRPr="001C542F">
        <w:rPr>
          <w:strike/>
        </w:rPr>
        <w:t xml:space="preserve">a střeliva v souladu s vnitrostátními předpisy ozbrojenými silami, policií, státními orgány nebo sběrateli a subjekty s kulturním a historickým zaměřením v oblasti zbraní, které jsou jako takové uznány členským </w:t>
      </w:r>
      <w:r w:rsidRPr="001C542F">
        <w:rPr>
          <w:strike/>
        </w:rPr>
        <w:lastRenderedPageBreak/>
        <w:t>státem, na jehož území jsou usazeny. Rovněž se nevztahuje na obchodní přepravu vojenských zbraní a střeliva.</w:t>
      </w:r>
    </w:p>
    <w:p w:rsidR="00972824" w:rsidRDefault="00972824" w:rsidP="00972824">
      <w:pPr>
        <w:rPr>
          <w:i/>
          <w:iCs/>
        </w:rPr>
      </w:pPr>
    </w:p>
    <w:p w:rsidR="00972824" w:rsidRPr="00225BF7" w:rsidRDefault="00972824" w:rsidP="00225BF7">
      <w:pPr>
        <w:jc w:val="center"/>
        <w:rPr>
          <w:b/>
          <w:i/>
          <w:iCs/>
        </w:rPr>
      </w:pPr>
      <w:r w:rsidRPr="00225BF7">
        <w:rPr>
          <w:b/>
          <w:i/>
          <w:iCs/>
        </w:rPr>
        <w:t>Článek 3</w:t>
      </w:r>
    </w:p>
    <w:p w:rsidR="00972824" w:rsidRPr="00972824" w:rsidRDefault="00972824" w:rsidP="00F20A42">
      <w:pPr>
        <w:jc w:val="both"/>
      </w:pPr>
      <w:r w:rsidRPr="00972824">
        <w:t>Členské státy mohou ve svých právních předpisech přijmout přísnější pravidla</w:t>
      </w:r>
      <w:r w:rsidR="00225BF7">
        <w:t>,</w:t>
      </w:r>
      <w:r w:rsidRPr="00972824">
        <w:t xml:space="preserve"> než stanoví tato směrnice, s výhradou práv udělených osobám s bydlištěm ve členských státech podle čl. 12 odst. 2.</w:t>
      </w:r>
    </w:p>
    <w:p w:rsidR="00972824" w:rsidRPr="00972824" w:rsidRDefault="00972824" w:rsidP="00225BF7">
      <w:pPr>
        <w:jc w:val="center"/>
      </w:pPr>
    </w:p>
    <w:p w:rsidR="00972824" w:rsidRPr="00972824" w:rsidRDefault="00972824" w:rsidP="00225BF7">
      <w:pPr>
        <w:jc w:val="center"/>
      </w:pPr>
      <w:r w:rsidRPr="00972824">
        <w:t>KAPITOLA 2</w:t>
      </w:r>
    </w:p>
    <w:p w:rsidR="00972824" w:rsidRPr="00972824" w:rsidRDefault="00972824" w:rsidP="00225BF7">
      <w:pPr>
        <w:jc w:val="center"/>
        <w:rPr>
          <w:b/>
          <w:bCs/>
        </w:rPr>
      </w:pPr>
      <w:r w:rsidRPr="00972824">
        <w:rPr>
          <w:b/>
          <w:bCs/>
        </w:rPr>
        <w:t>Harmonizace právních předpisů o   palných zbraních</w:t>
      </w:r>
    </w:p>
    <w:p w:rsidR="00972824" w:rsidRDefault="00972824" w:rsidP="00972824">
      <w:pPr>
        <w:rPr>
          <w:i/>
          <w:iCs/>
        </w:rPr>
      </w:pPr>
    </w:p>
    <w:p w:rsidR="00972824" w:rsidRPr="00225BF7" w:rsidRDefault="00972824" w:rsidP="00225BF7">
      <w:pPr>
        <w:jc w:val="center"/>
        <w:rPr>
          <w:b/>
          <w:i/>
          <w:iCs/>
        </w:rPr>
      </w:pPr>
      <w:r w:rsidRPr="00225BF7">
        <w:rPr>
          <w:b/>
          <w:i/>
          <w:iCs/>
        </w:rPr>
        <w:t>Článek 4</w:t>
      </w:r>
    </w:p>
    <w:p w:rsidR="00F422B3" w:rsidRPr="00F422B3" w:rsidRDefault="00F422B3" w:rsidP="00F20A42">
      <w:pPr>
        <w:jc w:val="both"/>
        <w:rPr>
          <w:b/>
          <w:u w:val="single"/>
        </w:rPr>
      </w:pPr>
      <w:r w:rsidRPr="00F422B3">
        <w:rPr>
          <w:b/>
          <w:u w:val="single"/>
        </w:rPr>
        <w:t>1. Pokud jde o palné zbraně vyrobené nebo dovezené do Unie dne ... [15 měsíců po vstupu této pozměňující směrnice v platnost] nebo později, zajistí členské státy, aby veškeré palné zbraně nebo hlavní části , které jsou uváděny na trh, byly:</w:t>
      </w:r>
    </w:p>
    <w:p w:rsidR="00F422B3" w:rsidRPr="00F422B3" w:rsidRDefault="00F422B3" w:rsidP="00F20A42">
      <w:pPr>
        <w:ind w:left="708"/>
        <w:jc w:val="both"/>
        <w:rPr>
          <w:b/>
          <w:u w:val="single"/>
        </w:rPr>
      </w:pPr>
      <w:r w:rsidRPr="00F422B3">
        <w:rPr>
          <w:b/>
          <w:u w:val="single"/>
        </w:rPr>
        <w:t>a) neprodleně po vyrobení a nejpozději před uvedením na trh nebo neprodleně po dovozu do Unie opatřeny jasným, trvalým a jedinečným označením; a</w:t>
      </w:r>
    </w:p>
    <w:p w:rsidR="00F422B3" w:rsidRDefault="00F422B3" w:rsidP="00F20A42">
      <w:pPr>
        <w:ind w:left="708"/>
        <w:jc w:val="both"/>
      </w:pPr>
      <w:r w:rsidRPr="00F422B3">
        <w:rPr>
          <w:b/>
          <w:u w:val="single"/>
        </w:rPr>
        <w:t xml:space="preserve"> b) neprodleně po vyrobení a nejpozději před uvedením na trh, nebo neprodleně po dovozu do Unie registrovány v souladu s touto směrnicí.</w:t>
      </w:r>
    </w:p>
    <w:p w:rsidR="00972824" w:rsidRPr="00F422B3" w:rsidRDefault="00972824" w:rsidP="00F20A42">
      <w:pPr>
        <w:jc w:val="both"/>
        <w:rPr>
          <w:strike/>
        </w:rPr>
      </w:pPr>
      <w:r w:rsidRPr="00F422B3">
        <w:rPr>
          <w:strike/>
        </w:rPr>
        <w:t>1.  Členské státy zajistí, aby veškeré palné zbraně</w:t>
      </w:r>
      <w:r w:rsidRPr="00F422B3">
        <w:rPr>
          <w:b/>
          <w:bCs/>
          <w:strike/>
        </w:rPr>
        <w:t> </w:t>
      </w:r>
      <w:r w:rsidRPr="00F422B3">
        <w:rPr>
          <w:strike/>
        </w:rPr>
        <w:t>nebo jejich součásti, které jsou uváděny na trh, byly buď označeny a registrovány v souladu s touto směrnicí, anebo znehodnoceny.</w:t>
      </w:r>
    </w:p>
    <w:p w:rsidR="00F422B3" w:rsidRPr="00F422B3" w:rsidRDefault="00F422B3" w:rsidP="00F20A42">
      <w:pPr>
        <w:jc w:val="both"/>
        <w:rPr>
          <w:b/>
          <w:u w:val="single"/>
        </w:rPr>
      </w:pPr>
      <w:r w:rsidRPr="00F422B3">
        <w:rPr>
          <w:b/>
          <w:u w:val="single"/>
        </w:rPr>
        <w:t>2.  Jedinečné označení uvedené v odst. 1 písm. a) obsahuje jméno výrobce nebo značku , zemi nebo místo výroby, sériové číslo a rok výroby (pokud není součástí sériového čísla) a případně model . Tím není dotčeno připojení obchodní značky výrobce. Je-li hlavní část příliš malá na to, aby byla označena v souladu s tímto článkem, označí se alespoň výrobním číslem nebo alfanumerickým nebo digitálním kódem.</w:t>
      </w:r>
    </w:p>
    <w:p w:rsidR="00F422B3" w:rsidRPr="00F422B3" w:rsidRDefault="00F422B3" w:rsidP="00F20A42">
      <w:pPr>
        <w:jc w:val="both"/>
        <w:rPr>
          <w:b/>
          <w:u w:val="single"/>
        </w:rPr>
      </w:pPr>
      <w:r w:rsidRPr="00F422B3">
        <w:rPr>
          <w:b/>
          <w:u w:val="single"/>
        </w:rPr>
        <w:t>Požadavky týkající se označování palných zbraní nebo jejich hlavních částí, které mají zvláštní historický význam, se stanoví v souladu s vnitrostátními právními předpisy.</w:t>
      </w:r>
    </w:p>
    <w:p w:rsidR="00F422B3" w:rsidRPr="00F422B3" w:rsidRDefault="00F422B3" w:rsidP="00F20A42">
      <w:pPr>
        <w:jc w:val="both"/>
        <w:rPr>
          <w:b/>
          <w:u w:val="single"/>
        </w:rPr>
      </w:pPr>
      <w:r w:rsidRPr="00F422B3">
        <w:rPr>
          <w:b/>
          <w:u w:val="single"/>
        </w:rPr>
        <w:t>Členské státy zajistí, aby každé jednotlivé základní balení kompletního střeliva bylo označeno tak, aby označení uvádělo jméno výrobce, identifikační číslo série (šarže), ráži a druh střeliva.</w:t>
      </w:r>
    </w:p>
    <w:p w:rsidR="00F422B3" w:rsidRPr="00F422B3" w:rsidRDefault="00F422B3" w:rsidP="00F20A42">
      <w:pPr>
        <w:jc w:val="both"/>
        <w:rPr>
          <w:b/>
          <w:u w:val="single"/>
        </w:rPr>
      </w:pPr>
      <w:r w:rsidRPr="00F422B3">
        <w:rPr>
          <w:b/>
          <w:u w:val="single"/>
        </w:rPr>
        <w:t>Pro účely odstavce 1 a tohoto odstavce se mohou členské státy rozhodnout uplatnit ustanovení Úmluvy o vzájemném uznávání zkušebních značek na ručních palných zbraních ze dne 1. července 1969.</w:t>
      </w:r>
    </w:p>
    <w:p w:rsidR="00F422B3" w:rsidRDefault="00F422B3" w:rsidP="00F20A42">
      <w:pPr>
        <w:jc w:val="both"/>
      </w:pPr>
      <w:r w:rsidRPr="00F422B3">
        <w:rPr>
          <w:b/>
          <w:u w:val="single"/>
        </w:rPr>
        <w:lastRenderedPageBreak/>
        <w:t>Členské státy dále zajistí, aby v okamžiku převodu palných zbraní nebo jejich hlavních částí z vládních zásob na trvalé civilní použití nesly zbraně jednoznačné označení, jak je stanoveno v odstavci 1, aby bylo možno zjistit subjekt provádějící tento převod.</w:t>
      </w:r>
    </w:p>
    <w:p w:rsidR="00972824" w:rsidRPr="00F422B3" w:rsidRDefault="00972824" w:rsidP="00F20A42">
      <w:pPr>
        <w:jc w:val="both"/>
        <w:rPr>
          <w:strike/>
        </w:rPr>
      </w:pPr>
      <w:r w:rsidRPr="00F422B3">
        <w:rPr>
          <w:strike/>
        </w:rPr>
        <w:t>2.  Pro účely identifikace a sledování všech smontovaných palných zbraní</w:t>
      </w:r>
      <w:r w:rsidRPr="00F422B3">
        <w:rPr>
          <w:b/>
          <w:bCs/>
          <w:strike/>
        </w:rPr>
        <w:t> </w:t>
      </w:r>
      <w:r w:rsidRPr="00F422B3">
        <w:rPr>
          <w:strike/>
        </w:rPr>
        <w:t>členské státy v okamžiku výroby každé palné zbraně</w:t>
      </w:r>
    </w:p>
    <w:p w:rsidR="00972824" w:rsidRPr="00F422B3" w:rsidRDefault="00972824" w:rsidP="00F20A42">
      <w:pPr>
        <w:jc w:val="both"/>
        <w:rPr>
          <w:strike/>
        </w:rPr>
      </w:pPr>
      <w:r w:rsidRPr="00F422B3">
        <w:rPr>
          <w:strike/>
        </w:rPr>
        <w:t>a) buď vyžadují jedinečné označení včetně jména výrobce, země nebo místa výroby, sériového čísla a roku výroby (pokud není součástí sériového čísla). Tím není dotčeno možné připojení obchodní značky výrobce. Pro tyto účely se členské státy mohou rozhodnout uplatňovat ustanovení Úmluvy ze dne 1. července 1969 o vzájemném uznávání zkušebních značek na ručních palných zbraních,</w:t>
      </w:r>
    </w:p>
    <w:p w:rsidR="00972824" w:rsidRPr="00F422B3" w:rsidRDefault="00972824" w:rsidP="00F20A42">
      <w:pPr>
        <w:jc w:val="both"/>
        <w:rPr>
          <w:strike/>
        </w:rPr>
      </w:pPr>
      <w:r w:rsidRPr="00F422B3">
        <w:rPr>
          <w:strike/>
        </w:rPr>
        <w:t>b) nebo zachovávají jakékoli jiné snadno použitelné jedinečné označení s číselným nebo alfanumerickým kódem, které umožní všem státům snadno zjistit zemi výroby.</w:t>
      </w:r>
    </w:p>
    <w:p w:rsidR="00972824" w:rsidRPr="00F422B3" w:rsidRDefault="00972824" w:rsidP="00F20A42">
      <w:pPr>
        <w:jc w:val="both"/>
        <w:rPr>
          <w:strike/>
        </w:rPr>
      </w:pPr>
      <w:r w:rsidRPr="00F422B3">
        <w:rPr>
          <w:strike/>
        </w:rPr>
        <w:t>Označení se provádí na hlavní části palné zbraně, jejíž zničení by učinilo zbraň neschopnou ke střelbě.</w:t>
      </w:r>
    </w:p>
    <w:p w:rsidR="00972824" w:rsidRPr="00F422B3" w:rsidRDefault="00972824" w:rsidP="00F20A42">
      <w:pPr>
        <w:jc w:val="both"/>
        <w:rPr>
          <w:strike/>
        </w:rPr>
      </w:pPr>
      <w:r w:rsidRPr="00F422B3">
        <w:rPr>
          <w:strike/>
        </w:rPr>
        <w:t>Členské státy zajistí, aby každé jednotlivé základní balení kompletního střeliva bylo označeno, přičemž toto označení odkazuje na jméno výrobce, identifikační číslo série (šarže), ráži a typ střeliva. Pro tyto účely se členské státy mohou rozhodnout uplatňovat ustanovení Úmluvy ze dne 1. července 1969 o vzájemném uznávání zkušebních značek na ručních palných zbraních.</w:t>
      </w:r>
    </w:p>
    <w:p w:rsidR="00972824" w:rsidRPr="00972824" w:rsidRDefault="00972824" w:rsidP="00F20A42">
      <w:pPr>
        <w:jc w:val="both"/>
      </w:pPr>
      <w:r w:rsidRPr="00F422B3">
        <w:rPr>
          <w:strike/>
        </w:rPr>
        <w:t>Členské státy dále zajistí, aby v okamžiku převodu zbraní z vládních zásob na trvalé civilní použití byly zbraně vhodně jednoznačně označeny, aby státy mohly zjistit zemi tohoto převodu.</w:t>
      </w:r>
    </w:p>
    <w:p w:rsidR="00F422B3" w:rsidRPr="00F422B3" w:rsidRDefault="00F422B3" w:rsidP="00F20A42">
      <w:pPr>
        <w:jc w:val="both"/>
        <w:rPr>
          <w:b/>
          <w:u w:val="single"/>
        </w:rPr>
      </w:pPr>
      <w:r w:rsidRPr="00F422B3">
        <w:rPr>
          <w:b/>
          <w:u w:val="single"/>
        </w:rPr>
        <w:t>2a.  Komise přijme prováděcí akty, jimiž stanoví technické specifikace pro označení. Tyto prováděcí akty se přijímají přezkumným postupem podle čl. 13b odst. 2.</w:t>
      </w:r>
    </w:p>
    <w:p w:rsidR="00F422B3" w:rsidRPr="00F422B3" w:rsidRDefault="00F422B3" w:rsidP="00F20A42">
      <w:pPr>
        <w:jc w:val="both"/>
        <w:rPr>
          <w:b/>
          <w:u w:val="single"/>
        </w:rPr>
      </w:pPr>
    </w:p>
    <w:p w:rsidR="00F422B3" w:rsidRPr="00F422B3" w:rsidRDefault="00F422B3" w:rsidP="00F20A42">
      <w:pPr>
        <w:jc w:val="both"/>
        <w:rPr>
          <w:b/>
          <w:u w:val="single"/>
        </w:rPr>
      </w:pPr>
      <w:r w:rsidRPr="00F422B3">
        <w:rPr>
          <w:b/>
          <w:u w:val="single"/>
        </w:rPr>
        <w:t>3.  Každý členský stát zavede systém regulace činnosti podnikatelů v oboru zbraní a zprostředkovatelů. Takové systémy musí zahrnovat alespoň tato opatření:</w:t>
      </w:r>
    </w:p>
    <w:p w:rsidR="00F422B3" w:rsidRPr="00F422B3" w:rsidRDefault="00F422B3" w:rsidP="00F20A42">
      <w:pPr>
        <w:ind w:left="708"/>
        <w:jc w:val="both"/>
        <w:rPr>
          <w:b/>
          <w:u w:val="single"/>
        </w:rPr>
      </w:pPr>
      <w:r w:rsidRPr="00F422B3">
        <w:rPr>
          <w:b/>
          <w:u w:val="single"/>
        </w:rPr>
        <w:t>a) registraci podnikatelů v oboru zbraní a zprostředkovatelů působících na území dotčeného členského státu;</w:t>
      </w:r>
    </w:p>
    <w:p w:rsidR="00F422B3" w:rsidRPr="00F422B3" w:rsidRDefault="00F422B3" w:rsidP="00F20A42">
      <w:pPr>
        <w:ind w:left="708"/>
        <w:jc w:val="both"/>
        <w:rPr>
          <w:b/>
          <w:u w:val="single"/>
        </w:rPr>
      </w:pPr>
      <w:r w:rsidRPr="00F422B3">
        <w:rPr>
          <w:b/>
          <w:u w:val="single"/>
        </w:rPr>
        <w:t>b) udělování licencí nebo povolení k provozování činnosti podnikatele v oboru zbraní a zprostředkovatele na území dotčeného členského státu;</w:t>
      </w:r>
    </w:p>
    <w:p w:rsidR="00F422B3" w:rsidRPr="00F422B3" w:rsidRDefault="00F422B3" w:rsidP="00F20A42">
      <w:pPr>
        <w:ind w:left="708"/>
        <w:jc w:val="both"/>
        <w:rPr>
          <w:b/>
          <w:u w:val="single"/>
        </w:rPr>
      </w:pPr>
      <w:r w:rsidRPr="00F422B3">
        <w:rPr>
          <w:b/>
          <w:u w:val="single"/>
        </w:rPr>
        <w:t>c) kontrolu osobní a odborné bezúhonnosti a příslušné způsobilosti dotčeného podnikatele v oboru zbraní nebo zprostředkovatele. Jedná-li se o právnickou osobu, provede se kontrola této právnické osoby a osob, které podnik řídí.</w:t>
      </w:r>
    </w:p>
    <w:p w:rsidR="00972824" w:rsidRPr="00F422B3" w:rsidRDefault="00972824" w:rsidP="00F20A42">
      <w:pPr>
        <w:jc w:val="both"/>
        <w:rPr>
          <w:strike/>
        </w:rPr>
      </w:pPr>
      <w:r w:rsidRPr="00F422B3">
        <w:rPr>
          <w:strike/>
        </w:rPr>
        <w:t>3.  Členské státy podmíní výkon činnosti podnikatele v oboru zbraní na svém území povolením uděleným alespoň na základě kontroly osobní a odborné bezúhonnosti a způsobilosti podnikatele v oboru zbraní. Jedná-li se o právnickou osobu, provede se kontrola osoby, která podnik řídí.</w:t>
      </w:r>
    </w:p>
    <w:p w:rsidR="00F422B3" w:rsidRPr="00F422B3" w:rsidRDefault="00972824" w:rsidP="00F20A42">
      <w:pPr>
        <w:jc w:val="both"/>
        <w:rPr>
          <w:b/>
          <w:u w:val="single"/>
        </w:rPr>
      </w:pPr>
      <w:r w:rsidRPr="00972824">
        <w:t>4.  Členské státy zajistí do 31. prosince 2014 zřízení a údržbu počítačového systému evidence údajů, centralizovaného nebo decentralizovaného, který oprávněným orgánům zajistí přístup k systémům evidence údajů, v nichž je zaznamenána každá palná zbraň</w:t>
      </w:r>
      <w:r w:rsidRPr="00972824">
        <w:rPr>
          <w:b/>
          <w:bCs/>
        </w:rPr>
        <w:t> </w:t>
      </w:r>
      <w:r w:rsidRPr="00972824">
        <w:t xml:space="preserve">v působnosti této směrnice. </w:t>
      </w:r>
      <w:r w:rsidRPr="00F422B3">
        <w:rPr>
          <w:strike/>
        </w:rPr>
        <w:t xml:space="preserve">V tomto </w:t>
      </w:r>
      <w:r w:rsidRPr="00F422B3">
        <w:rPr>
          <w:strike/>
        </w:rPr>
        <w:lastRenderedPageBreak/>
        <w:t>evidenčním systému se zaznamenávají a po dobu nejméně dvaceti let uchovávají informace o druhu, výrobní značce výrobce, modelu, ráži a sériovém čísle palné zbraně</w:t>
      </w:r>
      <w:r w:rsidRPr="00F422B3">
        <w:rPr>
          <w:b/>
          <w:bCs/>
          <w:strike/>
        </w:rPr>
        <w:t> </w:t>
      </w:r>
      <w:r w:rsidRPr="00F422B3">
        <w:rPr>
          <w:strike/>
        </w:rPr>
        <w:t>a jména a adresy jejího dodavatele a nabyvatele nebo držitele.</w:t>
      </w:r>
      <w:r w:rsidR="00F422B3" w:rsidRPr="00F422B3">
        <w:t xml:space="preserve"> </w:t>
      </w:r>
      <w:r w:rsidR="00F422B3" w:rsidRPr="00F422B3">
        <w:rPr>
          <w:b/>
          <w:u w:val="single"/>
        </w:rPr>
        <w:t>V tomto systému evidence údajů se zaznamenávají veškeré informace týkající se palných zbraní, které jsou nezbytné k sledování a identifikaci těchto palných zbraní, včetně informací o:</w:t>
      </w:r>
    </w:p>
    <w:p w:rsidR="00F422B3" w:rsidRPr="00F422B3" w:rsidRDefault="00F422B3" w:rsidP="00F20A42">
      <w:pPr>
        <w:jc w:val="both"/>
        <w:rPr>
          <w:b/>
          <w:u w:val="single"/>
        </w:rPr>
      </w:pPr>
      <w:r w:rsidRPr="00F422B3">
        <w:rPr>
          <w:b/>
          <w:u w:val="single"/>
        </w:rPr>
        <w:t>a) druhu, značce výrobce, modelu, ráži a sériovém čísle každé palné zbraně a označení na rámu nebo pouzdru závěru jako jedinečném označení v souladu s odstavcem 1, které slouží jako jedinečný identifikátor každé palné zbraně;</w:t>
      </w:r>
    </w:p>
    <w:p w:rsidR="00F422B3" w:rsidRPr="00F422B3" w:rsidRDefault="00F422B3" w:rsidP="00F20A42">
      <w:pPr>
        <w:jc w:val="both"/>
        <w:rPr>
          <w:b/>
          <w:u w:val="single"/>
        </w:rPr>
      </w:pPr>
      <w:r w:rsidRPr="00F422B3">
        <w:rPr>
          <w:b/>
          <w:u w:val="single"/>
        </w:rPr>
        <w:t>b) sériovém čísle nebo jedinečném označení připevněném na hlavních částech, pokud se liší od označení na rámu nebo pouzdru závěru palné zbraně;</w:t>
      </w:r>
    </w:p>
    <w:p w:rsidR="00F422B3" w:rsidRPr="00F422B3" w:rsidRDefault="00F422B3" w:rsidP="00F20A42">
      <w:pPr>
        <w:jc w:val="both"/>
        <w:rPr>
          <w:b/>
          <w:u w:val="single"/>
        </w:rPr>
      </w:pPr>
      <w:r w:rsidRPr="00F422B3">
        <w:rPr>
          <w:b/>
          <w:u w:val="single"/>
        </w:rPr>
        <w:t>c) jménech a adresách dodavatelů a osob nabývajících nebo držících palnou zbraň, spolu s příslušným datem nebo daty; a</w:t>
      </w:r>
    </w:p>
    <w:p w:rsidR="00F422B3" w:rsidRPr="00F422B3" w:rsidRDefault="00F422B3" w:rsidP="00F20A42">
      <w:pPr>
        <w:jc w:val="both"/>
        <w:rPr>
          <w:b/>
          <w:u w:val="single"/>
        </w:rPr>
      </w:pPr>
      <w:r w:rsidRPr="00F422B3">
        <w:rPr>
          <w:b/>
          <w:u w:val="single"/>
        </w:rPr>
        <w:t>d) veškerých přeměnách nebo úpravách palné zbraně vedoucích ke změně její kategorie či podkategorie, včetně jejího oficiálně osvědčeného znehodnocení či zničení a příslušném datu nebo datech.</w:t>
      </w:r>
    </w:p>
    <w:p w:rsidR="00F422B3" w:rsidRPr="00F422B3" w:rsidRDefault="00F422B3" w:rsidP="00F20A42">
      <w:pPr>
        <w:jc w:val="both"/>
        <w:rPr>
          <w:b/>
          <w:u w:val="single"/>
        </w:rPr>
      </w:pPr>
      <w:r w:rsidRPr="00F422B3">
        <w:rPr>
          <w:b/>
          <w:u w:val="single"/>
        </w:rPr>
        <w:t>Členské státy zajistí, aby záznam o palných zbraních a jejich hlavních částech včetně souvisejících osobních údajů byl uchováván příslušnými orgány v systémech evidence údajů po dobu 30 let od zničení dotčených palných zbraní nebo hlavních částí.</w:t>
      </w:r>
    </w:p>
    <w:p w:rsidR="00F422B3" w:rsidRPr="00F422B3" w:rsidRDefault="00F422B3" w:rsidP="00F20A42">
      <w:pPr>
        <w:jc w:val="both"/>
        <w:rPr>
          <w:b/>
          <w:u w:val="single"/>
        </w:rPr>
      </w:pPr>
      <w:r w:rsidRPr="00F422B3">
        <w:rPr>
          <w:b/>
          <w:u w:val="single"/>
        </w:rPr>
        <w:t>Záznamy o palných zbraních a jejich hlavních částech uvedené v prvním pododstavci tohoto odstavce a příslušné osobní údaje jsou přístupné:</w:t>
      </w:r>
    </w:p>
    <w:p w:rsidR="00F422B3" w:rsidRPr="00F422B3" w:rsidRDefault="00F422B3" w:rsidP="00F20A42">
      <w:pPr>
        <w:jc w:val="both"/>
        <w:rPr>
          <w:b/>
          <w:u w:val="single"/>
        </w:rPr>
      </w:pPr>
    </w:p>
    <w:p w:rsidR="00F422B3" w:rsidRPr="00F422B3" w:rsidRDefault="00F422B3" w:rsidP="00F20A42">
      <w:pPr>
        <w:jc w:val="both"/>
        <w:rPr>
          <w:b/>
          <w:u w:val="single"/>
        </w:rPr>
      </w:pPr>
      <w:r w:rsidRPr="00F422B3">
        <w:rPr>
          <w:b/>
          <w:u w:val="single"/>
        </w:rPr>
        <w:t>a) orgánům příslušným pro udělování či odnětí povolení podle článku 6 nebo 7 nebo orgánům příslušným pro celní řízení, a to po dobu 10 let od zničení dotčené palné zbraně nebo jejích hlavních částí, a</w:t>
      </w:r>
    </w:p>
    <w:p w:rsidR="00F422B3" w:rsidRPr="00F422B3" w:rsidRDefault="00F422B3" w:rsidP="00F20A42">
      <w:pPr>
        <w:jc w:val="both"/>
        <w:rPr>
          <w:b/>
          <w:u w:val="single"/>
        </w:rPr>
      </w:pPr>
      <w:r w:rsidRPr="00F422B3">
        <w:rPr>
          <w:b/>
          <w:u w:val="single"/>
        </w:rPr>
        <w:t>b) orgánům příslušným pro prevenci, vyšetřování, odhalování či stíhání trestných činů nebo pro výkon trestů, a to po dobu 30 let od zničení dotčené palné zbraně nebo jejích hlavních částí.</w:t>
      </w:r>
    </w:p>
    <w:p w:rsidR="00972824" w:rsidRPr="00F422B3" w:rsidRDefault="00F422B3" w:rsidP="00F20A42">
      <w:pPr>
        <w:jc w:val="both"/>
        <w:rPr>
          <w:b/>
          <w:u w:val="single"/>
        </w:rPr>
      </w:pPr>
      <w:r w:rsidRPr="00F422B3">
        <w:rPr>
          <w:b/>
          <w:u w:val="single"/>
        </w:rPr>
        <w:t>Členské státy zajistí, aby byly osobní údaje po uplynutí lhůt stanovených ve druhém a třetím pododstavci ze systémů evidence údajů vymazány. Tím nejsou dotčeny případy, kdy byly konkrétní osobní údaje předány orgánu příslušnému pro prevenci, vyšetřování, odhalování či stíhání trestných činů nebo pro výkon trestů a jsou užívány v tomto specifickém kontextu nebo jiným orgánům příslušným ke srovnatelnému účelu podle vnitrostátního práva. V těchto případech se zpracování takových údajů příslušnými orgány řídí vnitrostátním právem dotčeného členského státu v plném souladu s právem Unie, zejména pokud jde o ochranu údajů.</w:t>
      </w:r>
    </w:p>
    <w:p w:rsidR="00F422B3" w:rsidRPr="00F422B3" w:rsidRDefault="00972824" w:rsidP="00F20A42">
      <w:pPr>
        <w:jc w:val="both"/>
        <w:rPr>
          <w:b/>
          <w:u w:val="single"/>
        </w:rPr>
      </w:pPr>
      <w:r w:rsidRPr="00F422B3">
        <w:rPr>
          <w:strike/>
        </w:rPr>
        <w:t>Podnikatelé v oboru zbraní musí během své činnosti uchovávat evidenci, v níž jsou zaznamenány všechny palné zbraně</w:t>
      </w:r>
      <w:r w:rsidRPr="00F422B3">
        <w:rPr>
          <w:b/>
          <w:bCs/>
          <w:strike/>
        </w:rPr>
        <w:t> </w:t>
      </w:r>
      <w:r w:rsidRPr="00F422B3">
        <w:rPr>
          <w:strike/>
        </w:rPr>
        <w:t>v působnosti této směrnice a jejich vstupy a výstupy, spolu s údaji, které umožní identifikaci a sledování palné zbraně, zejména typ, značku výrobce, model, ráži a sériové číslo a jména a adresy dodavatelů a nabyvatelů. Po ukončení činnosti předá podnikatel evidenci vnitrostátnímu orgánu příslušnému pro systém evidence údajů stanovený v prvním pododstavci.</w:t>
      </w:r>
      <w:r w:rsidR="00F422B3" w:rsidRPr="00F422B3">
        <w:t xml:space="preserve"> </w:t>
      </w:r>
      <w:r w:rsidR="00F422B3" w:rsidRPr="00F422B3">
        <w:rPr>
          <w:b/>
          <w:u w:val="single"/>
        </w:rPr>
        <w:lastRenderedPageBreak/>
        <w:t>Podnikatelé v oboru zbraní a zprostředkovatelé musí po celou dobu své činnosti vést evidenci, v níž je zaznamenána každá palná zbraň a každá hlavní část, na niž se vztahuje tato směrnice, její vstupy a výstupy, spolu s údaji, které umožní identifikaci a sledování dotčené palné zbraně nebo jejich hlavní části , zejména druh, značka výrobce, model, ráže a sériové číslo a jména a adresy dodavatelů a osob, které ji nabývají.</w:t>
      </w:r>
    </w:p>
    <w:p w:rsidR="00F422B3" w:rsidRPr="00F422B3" w:rsidRDefault="00F422B3" w:rsidP="00F20A42">
      <w:pPr>
        <w:jc w:val="both"/>
        <w:rPr>
          <w:b/>
          <w:u w:val="single"/>
        </w:rPr>
      </w:pPr>
      <w:r w:rsidRPr="00F422B3">
        <w:rPr>
          <w:b/>
          <w:u w:val="single"/>
        </w:rPr>
        <w:t>Po ukončení činnosti předají podnikatelé v oboru zbraní a zprostředkovatelé tuto evidenci vnitrostátním orgánům příslušným pro systémy evidence údajů stanovené v prvním pododstavci.</w:t>
      </w:r>
    </w:p>
    <w:p w:rsidR="00972824" w:rsidRPr="00F422B3" w:rsidRDefault="00F422B3" w:rsidP="00F20A42">
      <w:pPr>
        <w:jc w:val="both"/>
        <w:rPr>
          <w:b/>
          <w:u w:val="single"/>
        </w:rPr>
      </w:pPr>
      <w:r w:rsidRPr="00F422B3">
        <w:rPr>
          <w:rFonts w:ascii="Calibri" w:hAnsi="Calibri" w:cs="Calibri"/>
          <w:b/>
          <w:u w:val="single"/>
        </w:rPr>
        <w:t>Č</w:t>
      </w:r>
      <w:r w:rsidRPr="00F422B3">
        <w:rPr>
          <w:b/>
          <w:u w:val="single"/>
        </w:rPr>
        <w:t>lensk</w:t>
      </w:r>
      <w:r w:rsidRPr="00F422B3">
        <w:rPr>
          <w:rFonts w:ascii="Calibri" w:hAnsi="Calibri" w:cs="Calibri"/>
          <w:b/>
          <w:u w:val="single"/>
        </w:rPr>
        <w:t>é</w:t>
      </w:r>
      <w:r w:rsidRPr="00F422B3">
        <w:rPr>
          <w:b/>
          <w:u w:val="single"/>
        </w:rPr>
        <w:t xml:space="preserve"> st</w:t>
      </w:r>
      <w:r w:rsidRPr="00F422B3">
        <w:rPr>
          <w:rFonts w:ascii="Calibri" w:hAnsi="Calibri" w:cs="Calibri"/>
          <w:b/>
          <w:u w:val="single"/>
        </w:rPr>
        <w:t>á</w:t>
      </w:r>
      <w:r w:rsidRPr="00F422B3">
        <w:rPr>
          <w:b/>
          <w:u w:val="single"/>
        </w:rPr>
        <w:t>ty zajistí, aby podnikatelé v oboru zbraní a zprostředkovatelé , kteří jsou usazeni na jejich území, předložili bez zbytečného prodlení hlášení o transakcích zahrnujících palné zbraně nebo jejich hlavní části příslušným vnitrostátním orgánům, aby podnikatelé v oboru zbraní a zprostředkovatelé měli elektronické spojení s těmito orgány pro tyto ohlašovací účely a aby aktualizace systémů evidence údajů proběhla okamžitě po obdržení informací o takových transakcích.</w:t>
      </w:r>
    </w:p>
    <w:p w:rsidR="00972824" w:rsidRPr="00972824" w:rsidRDefault="00972824" w:rsidP="00F20A42">
      <w:pPr>
        <w:jc w:val="both"/>
      </w:pPr>
      <w:r w:rsidRPr="00972824">
        <w:t>5.  </w:t>
      </w:r>
      <w:r w:rsidR="00F422B3" w:rsidRPr="00F422B3">
        <w:rPr>
          <w:b/>
          <w:u w:val="single"/>
        </w:rPr>
        <w:t>Členské státy zajistí, aby všechny palné zbraně mohly být kdykoliv přiřazeny ke svému majiteli.</w:t>
      </w:r>
      <w:r w:rsidR="00F422B3">
        <w:t xml:space="preserve"> </w:t>
      </w:r>
      <w:r w:rsidRPr="00F422B3">
        <w:rPr>
          <w:strike/>
        </w:rPr>
        <w:t>Členské státy zajistí, aby u všech palných zbraní</w:t>
      </w:r>
      <w:r w:rsidRPr="00F422B3">
        <w:rPr>
          <w:b/>
          <w:bCs/>
          <w:strike/>
        </w:rPr>
        <w:t> </w:t>
      </w:r>
      <w:r w:rsidRPr="00F422B3">
        <w:rPr>
          <w:strike/>
        </w:rPr>
        <w:t>mohl být kdykoliv zjištěn jejich majitel. Pokud však jde o palné zbraně</w:t>
      </w:r>
      <w:r w:rsidRPr="00F422B3">
        <w:rPr>
          <w:b/>
          <w:bCs/>
          <w:strike/>
        </w:rPr>
        <w:t> </w:t>
      </w:r>
      <w:r w:rsidRPr="00F422B3">
        <w:rPr>
          <w:strike/>
        </w:rPr>
        <w:t>kategorie D, zavedou členské státy od 28. července 2010 vhodná opatření ke sledování, včetně od 31. prosince 2014 opatření umožňujících kdykoliv zjistit majitele palných zbraní</w:t>
      </w:r>
      <w:r w:rsidRPr="00F422B3">
        <w:rPr>
          <w:b/>
          <w:bCs/>
          <w:strike/>
        </w:rPr>
        <w:t> </w:t>
      </w:r>
      <w:r w:rsidRPr="00F422B3">
        <w:rPr>
          <w:strike/>
        </w:rPr>
        <w:t>uvedených na trh po 28. července 2010.</w:t>
      </w:r>
    </w:p>
    <w:p w:rsidR="00972824" w:rsidRDefault="00972824" w:rsidP="00972824">
      <w:pPr>
        <w:rPr>
          <w:i/>
          <w:iCs/>
        </w:rPr>
      </w:pPr>
    </w:p>
    <w:p w:rsidR="00972824" w:rsidRPr="00225BF7" w:rsidRDefault="00972824" w:rsidP="00225BF7">
      <w:pPr>
        <w:jc w:val="center"/>
        <w:rPr>
          <w:b/>
          <w:i/>
          <w:iCs/>
        </w:rPr>
      </w:pPr>
      <w:r w:rsidRPr="00225BF7">
        <w:rPr>
          <w:b/>
          <w:i/>
          <w:iCs/>
        </w:rPr>
        <w:t>Článek 4a</w:t>
      </w:r>
    </w:p>
    <w:p w:rsidR="00972824" w:rsidRPr="00972824" w:rsidRDefault="00F422B3" w:rsidP="00F20A42">
      <w:pPr>
        <w:jc w:val="both"/>
      </w:pPr>
      <w:r w:rsidRPr="00F422B3">
        <w:rPr>
          <w:b/>
          <w:u w:val="single"/>
        </w:rPr>
        <w:t>Aniž je dotčen článek 3, povolí členské státy nabývání a držení palných zbraní pouze osobám, které obdržely licenci nebo, v případě palných zbraní zařazených do kategorie C, které mají k nabývání a držení takových palných zbraní zvláštní povolení v souladu s vnitrostátním právem.</w:t>
      </w:r>
      <w:r>
        <w:rPr>
          <w:b/>
          <w:u w:val="single"/>
        </w:rPr>
        <w:t xml:space="preserve"> </w:t>
      </w:r>
      <w:r w:rsidR="00972824" w:rsidRPr="00F422B3">
        <w:rPr>
          <w:strike/>
        </w:rPr>
        <w:t>Aniž je dotčen článek 3, povolí členské státy nabývání a držení palných zbraní</w:t>
      </w:r>
      <w:r w:rsidR="00972824" w:rsidRPr="00F422B3">
        <w:rPr>
          <w:b/>
          <w:bCs/>
          <w:strike/>
        </w:rPr>
        <w:t> </w:t>
      </w:r>
      <w:r w:rsidR="00972824" w:rsidRPr="00F422B3">
        <w:rPr>
          <w:strike/>
        </w:rPr>
        <w:t>pouze osobám, které obdržely licenci nebo, v případě kategorií C nebo D, které k tomu mají zvláštní povolení v souladu s vnitrostátním právem.</w:t>
      </w:r>
      <w:r w:rsidRPr="00F422B3">
        <w:t xml:space="preserve"> </w:t>
      </w:r>
    </w:p>
    <w:p w:rsidR="00972824" w:rsidRDefault="00972824" w:rsidP="00972824">
      <w:pPr>
        <w:rPr>
          <w:i/>
          <w:iCs/>
        </w:rPr>
      </w:pPr>
    </w:p>
    <w:p w:rsidR="00972824" w:rsidRPr="00F422B3" w:rsidRDefault="00972824" w:rsidP="00225BF7">
      <w:pPr>
        <w:jc w:val="center"/>
        <w:rPr>
          <w:b/>
          <w:i/>
          <w:iCs/>
          <w:strike/>
        </w:rPr>
      </w:pPr>
      <w:r w:rsidRPr="00F422B3">
        <w:rPr>
          <w:b/>
          <w:i/>
          <w:iCs/>
          <w:strike/>
        </w:rPr>
        <w:t>Článek 4b</w:t>
      </w:r>
    </w:p>
    <w:p w:rsidR="00972824" w:rsidRPr="00F422B3" w:rsidRDefault="00972824" w:rsidP="00F20A42">
      <w:pPr>
        <w:jc w:val="both"/>
        <w:rPr>
          <w:strike/>
        </w:rPr>
      </w:pPr>
      <w:r w:rsidRPr="00F422B3">
        <w:rPr>
          <w:strike/>
        </w:rPr>
        <w:t>Členské státy zváží zavedení systému regulace činnosti zprostředkovatelů. Takový systém může zahrnovat jedno nebo více opatření, jako například:</w:t>
      </w:r>
    </w:p>
    <w:p w:rsidR="00972824" w:rsidRPr="00F422B3" w:rsidRDefault="00972824" w:rsidP="00F20A42">
      <w:pPr>
        <w:jc w:val="both"/>
        <w:rPr>
          <w:strike/>
        </w:rPr>
      </w:pPr>
      <w:r w:rsidRPr="00F422B3">
        <w:rPr>
          <w:strike/>
        </w:rPr>
        <w:t>a) povinnou registraci zprostředkovatelů činných na jejich území;</w:t>
      </w:r>
    </w:p>
    <w:p w:rsidR="00972824" w:rsidRPr="00972824" w:rsidRDefault="00972824" w:rsidP="00F20A42">
      <w:pPr>
        <w:jc w:val="both"/>
      </w:pPr>
      <w:r w:rsidRPr="00F422B3">
        <w:rPr>
          <w:strike/>
        </w:rPr>
        <w:t>b) povinnou licenci nebo povolení ke zprostředkování.</w:t>
      </w:r>
    </w:p>
    <w:p w:rsidR="00972824" w:rsidRDefault="00972824" w:rsidP="00972824">
      <w:pPr>
        <w:rPr>
          <w:b/>
          <w:bCs/>
        </w:rPr>
      </w:pPr>
    </w:p>
    <w:p w:rsidR="00972824" w:rsidRPr="00225BF7" w:rsidRDefault="00972824" w:rsidP="00225BF7">
      <w:pPr>
        <w:jc w:val="center"/>
        <w:rPr>
          <w:b/>
          <w:i/>
          <w:iCs/>
        </w:rPr>
      </w:pPr>
      <w:r w:rsidRPr="00225BF7">
        <w:rPr>
          <w:b/>
          <w:i/>
          <w:iCs/>
        </w:rPr>
        <w:t>Článek 5</w:t>
      </w:r>
    </w:p>
    <w:p w:rsidR="00F422B3" w:rsidRPr="00C12B67" w:rsidRDefault="00F422B3" w:rsidP="00F20A42">
      <w:pPr>
        <w:jc w:val="both"/>
        <w:rPr>
          <w:b/>
          <w:u w:val="single"/>
        </w:rPr>
      </w:pPr>
      <w:r w:rsidRPr="00C12B67">
        <w:rPr>
          <w:b/>
          <w:u w:val="single"/>
        </w:rPr>
        <w:t>1.  Aniž je dotčen článek 3, povolí členské státy nabývání a držení palných zbraní pouze osobám, které pro to mají řádný důvod a které:</w:t>
      </w:r>
    </w:p>
    <w:p w:rsidR="00F422B3" w:rsidRPr="00C12B67" w:rsidRDefault="00F422B3" w:rsidP="00F20A42">
      <w:pPr>
        <w:ind w:left="708"/>
        <w:jc w:val="both"/>
        <w:rPr>
          <w:b/>
          <w:u w:val="single"/>
        </w:rPr>
      </w:pPr>
      <w:r w:rsidRPr="00C12B67">
        <w:rPr>
          <w:b/>
          <w:u w:val="single"/>
        </w:rPr>
        <w:lastRenderedPageBreak/>
        <w:t>a) dosáhly věku 18 let, s výjimkou nabývání palných zbraní jinak než koupí a jejich držení k loveckým účelům nebo pro sportovní střelbu za předpokladu, že v tomto případě má osoba mladší 18 let povolení rodičů nebo je pod jejich vedením či pod vedením dospělé osoby s platnou licencí k držení palné zbraně či licencí k lovu nebo provádí střelbu v rámci licencovaného či jinak schváleného tréninkového střediska a že rodič nebo dospělá osoba s platnou licencí k držení palné zbraně či licencí k lovu přebírá odpovědnost za náležité skladování podle článku 5a ; a</w:t>
      </w:r>
    </w:p>
    <w:p w:rsidR="00F422B3" w:rsidRPr="00C12B67" w:rsidRDefault="00F422B3" w:rsidP="00F20A42">
      <w:pPr>
        <w:ind w:left="708"/>
        <w:jc w:val="both"/>
        <w:rPr>
          <w:b/>
          <w:u w:val="single"/>
        </w:rPr>
      </w:pPr>
      <w:r w:rsidRPr="00C12B67">
        <w:rPr>
          <w:b/>
          <w:u w:val="single"/>
        </w:rPr>
        <w:t xml:space="preserve"> b) nepředstavují nebezpečí pro sebe ani pro jiné osoby , veřejný pořádek ani veřejnou bezpečnost. Odsouzení za úmyslný násilný trestný čin se považuje za příznak, že takové nebezpečí existuje.</w:t>
      </w:r>
    </w:p>
    <w:p w:rsidR="00F422B3" w:rsidRPr="00C12B67" w:rsidRDefault="00F422B3" w:rsidP="00F20A42">
      <w:pPr>
        <w:jc w:val="both"/>
        <w:rPr>
          <w:b/>
          <w:u w:val="single"/>
        </w:rPr>
      </w:pPr>
      <w:r w:rsidRPr="00C12B67">
        <w:rPr>
          <w:b/>
          <w:u w:val="single"/>
        </w:rPr>
        <w:t>2.  Členské státy mají zaveden monitorovací systém, který mohou provozovat průběžně, nebo periodicky, s cílem zajistit, aby byly po celou dobu trvání povolení plněny podmínky pro povolení stanovené vnitrostátním právem a aby byly mimo jiné zhodnoceny příslušné lékařské a psychologické informace. Konkrétní opatření se stanoví v souladu s vnitrostátním právem.</w:t>
      </w:r>
    </w:p>
    <w:p w:rsidR="00F422B3" w:rsidRPr="00C12B67" w:rsidRDefault="00F422B3" w:rsidP="00F20A42">
      <w:pPr>
        <w:jc w:val="both"/>
        <w:rPr>
          <w:b/>
          <w:u w:val="single"/>
        </w:rPr>
      </w:pPr>
      <w:r w:rsidRPr="00C12B67">
        <w:rPr>
          <w:b/>
          <w:u w:val="single"/>
        </w:rPr>
        <w:t>Pokud již není některá z uvedených podmínek splněna, členské státy příslušné povolení odejmou.</w:t>
      </w:r>
    </w:p>
    <w:p w:rsidR="00F422B3" w:rsidRPr="00C12B67" w:rsidRDefault="00F422B3" w:rsidP="00F20A42">
      <w:pPr>
        <w:jc w:val="both"/>
        <w:rPr>
          <w:b/>
          <w:u w:val="single"/>
        </w:rPr>
      </w:pPr>
      <w:r w:rsidRPr="00C12B67">
        <w:rPr>
          <w:b/>
          <w:u w:val="single"/>
        </w:rPr>
        <w:t>Členské státy mohou osobám s bydlištěm na jejich území zakázat držení palné zbraně nabyté v jiném členském státě, pouze pokud nabytí stejného druhu palné zbraně na svém území zakazují.</w:t>
      </w:r>
    </w:p>
    <w:p w:rsidR="00F422B3" w:rsidRPr="00C12B67" w:rsidRDefault="00F422B3" w:rsidP="00F20A42">
      <w:pPr>
        <w:jc w:val="both"/>
        <w:rPr>
          <w:b/>
          <w:u w:val="single"/>
        </w:rPr>
      </w:pPr>
      <w:r w:rsidRPr="00C12B67">
        <w:rPr>
          <w:b/>
          <w:u w:val="single"/>
        </w:rPr>
        <w:t>3. Členské státy zajistí, aby bylo povolení nabývat a povolení držet palnou zbraň zařazenou do kategorie B odňato, pokud se zjistí, že osoba, které bylo povolení uděleno, má v držení zásobovací ústrojí, které lze nasadit na samonabíjecí nebo opakovací palné zbraně pro střelivo se středovým zápalem a které:</w:t>
      </w:r>
    </w:p>
    <w:p w:rsidR="00F422B3" w:rsidRPr="00C12B67" w:rsidRDefault="00F422B3" w:rsidP="00F20A42">
      <w:pPr>
        <w:ind w:left="708"/>
        <w:jc w:val="both"/>
        <w:rPr>
          <w:b/>
          <w:u w:val="single"/>
        </w:rPr>
      </w:pPr>
      <w:r w:rsidRPr="00C12B67">
        <w:rPr>
          <w:b/>
          <w:u w:val="single"/>
        </w:rPr>
        <w:t>a) může pojmout více než 20 nábojů; nebo</w:t>
      </w:r>
    </w:p>
    <w:p w:rsidR="00F422B3" w:rsidRPr="00C12B67" w:rsidRDefault="00F422B3" w:rsidP="00F20A42">
      <w:pPr>
        <w:ind w:left="708"/>
        <w:jc w:val="both"/>
        <w:rPr>
          <w:b/>
          <w:u w:val="single"/>
        </w:rPr>
      </w:pPr>
      <w:r w:rsidRPr="00C12B67">
        <w:rPr>
          <w:b/>
          <w:u w:val="single"/>
        </w:rPr>
        <w:t>b) v případě dlouhých palných zbraní může pojmout více než 10 nábojů,</w:t>
      </w:r>
    </w:p>
    <w:p w:rsidR="00F422B3" w:rsidRDefault="00F422B3" w:rsidP="00F20A42">
      <w:pPr>
        <w:jc w:val="both"/>
      </w:pPr>
      <w:r w:rsidRPr="00C12B67">
        <w:rPr>
          <w:b/>
          <w:u w:val="single"/>
        </w:rPr>
        <w:t>ledaže bylo této osobě uděleno povolení podle článku 6 nebo povolení, které bylo potvrzeno, obnoveno nebo prodlouženo podle čl. 7 odst. 4a.</w:t>
      </w:r>
    </w:p>
    <w:p w:rsidR="00972824" w:rsidRPr="00F422B3" w:rsidRDefault="00972824" w:rsidP="00F20A42">
      <w:pPr>
        <w:jc w:val="both"/>
        <w:rPr>
          <w:strike/>
        </w:rPr>
      </w:pPr>
      <w:r w:rsidRPr="00F422B3">
        <w:rPr>
          <w:strike/>
        </w:rPr>
        <w:t>Aniž je dotčen článek 3, povolí členské státy nabývání a držení palných zbraní pouze osobám, které pro to mají řádný důvod a které</w:t>
      </w:r>
    </w:p>
    <w:p w:rsidR="00972824" w:rsidRPr="00F422B3" w:rsidRDefault="00972824" w:rsidP="00F20A42">
      <w:pPr>
        <w:jc w:val="both"/>
        <w:rPr>
          <w:strike/>
        </w:rPr>
      </w:pPr>
      <w:r w:rsidRPr="00F422B3">
        <w:rPr>
          <w:strike/>
        </w:rPr>
        <w:t>a) dosáhly věku 18 let, s výjimkou nabývání jinak než koupí a držení palných zbraní</w:t>
      </w:r>
      <w:r w:rsidRPr="00F422B3">
        <w:rPr>
          <w:b/>
          <w:bCs/>
          <w:strike/>
        </w:rPr>
        <w:t> </w:t>
      </w:r>
      <w:r w:rsidRPr="00F422B3">
        <w:rPr>
          <w:strike/>
        </w:rPr>
        <w:t>k loveckým účelům a zbraní pro lov nebo sportovní střelbu za předpokladu, že v tomto případě má osoba mladší 18 let povolení rodičů nebo je pod jejich vedením či pod vedením dospělé osoby s platnou licencí k držení palné zbraně</w:t>
      </w:r>
      <w:r w:rsidRPr="00F422B3">
        <w:rPr>
          <w:b/>
          <w:bCs/>
          <w:strike/>
        </w:rPr>
        <w:t> </w:t>
      </w:r>
      <w:r w:rsidRPr="00F422B3">
        <w:rPr>
          <w:strike/>
        </w:rPr>
        <w:t>či licencí k lovu anebo provádí střelbu v rámci licencovaného či jinak schváleného tréninkového střediska;</w:t>
      </w:r>
    </w:p>
    <w:p w:rsidR="00972824" w:rsidRPr="00F422B3" w:rsidRDefault="00972824" w:rsidP="00F20A42">
      <w:pPr>
        <w:jc w:val="both"/>
        <w:rPr>
          <w:strike/>
        </w:rPr>
      </w:pPr>
      <w:r w:rsidRPr="00F422B3">
        <w:rPr>
          <w:strike/>
        </w:rPr>
        <w:t>b) nepředstavují nebezpečí pro sebe, veřejný pořádek ani veřejnou bezpečnost. Odsouzení za úmyslný násilný trestný čin se považuje za příznak, že takové nebezpečí existuje.</w:t>
      </w:r>
    </w:p>
    <w:p w:rsidR="00972824" w:rsidRPr="00F422B3" w:rsidRDefault="00972824" w:rsidP="00F20A42">
      <w:pPr>
        <w:jc w:val="both"/>
        <w:rPr>
          <w:strike/>
        </w:rPr>
      </w:pPr>
      <w:r w:rsidRPr="00F422B3">
        <w:rPr>
          <w:strike/>
        </w:rPr>
        <w:t>Členské státy mohou odejmout povolení k držení palné zbraně, přestane-li být plněna některá z podmínek, na jejichž základě bylo uděleno.</w:t>
      </w:r>
    </w:p>
    <w:p w:rsidR="00972824" w:rsidRPr="00972824" w:rsidRDefault="00972824" w:rsidP="00F20A42">
      <w:pPr>
        <w:jc w:val="both"/>
      </w:pPr>
      <w:r w:rsidRPr="00F422B3">
        <w:rPr>
          <w:strike/>
        </w:rPr>
        <w:lastRenderedPageBreak/>
        <w:t>Členské státy mohou osobám s bydlištěm na svém území zakázat držení zbraně nabyté v jiném členském státě, pouze pokud zakazují nabytí stejné zbraně na svém území.</w:t>
      </w:r>
    </w:p>
    <w:p w:rsidR="00C12B67" w:rsidRDefault="00C12B67" w:rsidP="00C12B67">
      <w:pPr>
        <w:rPr>
          <w:iCs/>
        </w:rPr>
      </w:pPr>
    </w:p>
    <w:p w:rsidR="00C12B67" w:rsidRPr="00C12B67" w:rsidRDefault="00C12B67" w:rsidP="00C12B67">
      <w:pPr>
        <w:jc w:val="center"/>
        <w:rPr>
          <w:b/>
          <w:i/>
          <w:iCs/>
          <w:u w:val="single"/>
        </w:rPr>
      </w:pPr>
      <w:r w:rsidRPr="00C12B67">
        <w:rPr>
          <w:b/>
          <w:i/>
          <w:iCs/>
          <w:u w:val="single"/>
        </w:rPr>
        <w:t>Článek 5a</w:t>
      </w:r>
    </w:p>
    <w:p w:rsidR="00C12B67" w:rsidRPr="00C12B67" w:rsidRDefault="00C12B67" w:rsidP="00F20A42">
      <w:pPr>
        <w:jc w:val="both"/>
        <w:rPr>
          <w:b/>
          <w:iCs/>
          <w:u w:val="single"/>
        </w:rPr>
      </w:pPr>
      <w:r w:rsidRPr="00C12B67">
        <w:rPr>
          <w:b/>
          <w:iCs/>
          <w:u w:val="single"/>
        </w:rPr>
        <w:t>S cílem minimalizovat riziko, že by k palným zbraním nebo střelivu získaly přístup neoprávněné osoby, stanoví členské státy pravidla pro řádný dohled nad palnými zbraněmi a střelivem a pravidla pro jejich řádné a bezpečné skladování. Palné zbraně a střelivo pro tyto palné zbraně nesmí být snadno společně přístupné. Řádný dohled znamená, že osoba, která má palnou zbraň nebo střelivo v zákonném držení, má nad nimi kontrolu během jejich přepravy a používání. Míra kontroly opatření pro náležité skladování odpovídá množství a kategorii dotčených palných zbraní a střeliva.</w:t>
      </w:r>
    </w:p>
    <w:p w:rsidR="00C12B67" w:rsidRPr="00C12B67" w:rsidRDefault="00C12B67" w:rsidP="00C12B67">
      <w:pPr>
        <w:rPr>
          <w:b/>
          <w:iCs/>
          <w:u w:val="single"/>
        </w:rPr>
      </w:pPr>
    </w:p>
    <w:p w:rsidR="00C12B67" w:rsidRPr="00C12B67" w:rsidRDefault="00C12B67" w:rsidP="00C12B67">
      <w:pPr>
        <w:jc w:val="center"/>
        <w:rPr>
          <w:b/>
          <w:i/>
          <w:iCs/>
          <w:u w:val="single"/>
        </w:rPr>
      </w:pPr>
      <w:r w:rsidRPr="00C12B67">
        <w:rPr>
          <w:b/>
          <w:i/>
          <w:iCs/>
          <w:u w:val="single"/>
        </w:rPr>
        <w:t>Článek 5b</w:t>
      </w:r>
    </w:p>
    <w:p w:rsidR="00C12B67" w:rsidRPr="00C12B67" w:rsidRDefault="00C12B67" w:rsidP="00F20A42">
      <w:pPr>
        <w:jc w:val="both"/>
        <w:rPr>
          <w:b/>
          <w:iCs/>
          <w:u w:val="single"/>
        </w:rPr>
      </w:pPr>
      <w:r w:rsidRPr="00C12B67">
        <w:rPr>
          <w:b/>
          <w:iCs/>
          <w:u w:val="single"/>
        </w:rPr>
        <w:t>Členské státy zajistí, aby v případech, kdy k nabývání a prodeji palných zbraní, jejich hlavních částí nebo střeliva zařazených do kategorie A, B nebo C dochází prostřednictvím smluv uzavřených na dálku ve smyslu čl. 2 bodu 7 směrnice Evropského parlamentu a Rady 2011/83/EU</w:t>
      </w:r>
      <w:r>
        <w:rPr>
          <w:rStyle w:val="Znakapoznpodarou"/>
          <w:b/>
          <w:iCs/>
          <w:u w:val="single"/>
        </w:rPr>
        <w:footnoteReference w:id="3"/>
      </w:r>
      <w:r w:rsidRPr="00C12B67">
        <w:rPr>
          <w:b/>
          <w:iCs/>
          <w:u w:val="single"/>
          <w:vertAlign w:val="superscript"/>
        </w:rPr>
        <w:t>)</w:t>
      </w:r>
      <w:r w:rsidRPr="00C12B67">
        <w:rPr>
          <w:b/>
          <w:iCs/>
          <w:u w:val="single"/>
        </w:rPr>
        <w:t>, byla před dodáním nebo nejpozději v okamžiku dodání ověřena totožnost kupce palné zbraně, její hlavní části nebo střeliva, a je-li to vyžadováno, zda má povolení, a to prostřednictvím:</w:t>
      </w:r>
    </w:p>
    <w:p w:rsidR="00C12B67" w:rsidRPr="00C12B67" w:rsidRDefault="00C12B67" w:rsidP="00F20A42">
      <w:pPr>
        <w:ind w:left="708"/>
        <w:jc w:val="both"/>
        <w:rPr>
          <w:b/>
          <w:iCs/>
          <w:u w:val="single"/>
        </w:rPr>
      </w:pPr>
      <w:r w:rsidRPr="00C12B67">
        <w:rPr>
          <w:b/>
          <w:iCs/>
          <w:u w:val="single"/>
        </w:rPr>
        <w:t>a) podnikatele v oboru zbraní nebo zprostředkovatele s licencí či povolením; nebo</w:t>
      </w:r>
    </w:p>
    <w:p w:rsidR="00972824" w:rsidRDefault="00C12B67" w:rsidP="00C12B67">
      <w:pPr>
        <w:ind w:left="708"/>
        <w:rPr>
          <w:iCs/>
        </w:rPr>
      </w:pPr>
      <w:r w:rsidRPr="00C12B67">
        <w:rPr>
          <w:b/>
          <w:iCs/>
          <w:u w:val="single"/>
        </w:rPr>
        <w:t>b) orgánu veřejné moci či jeho zástupce.</w:t>
      </w:r>
    </w:p>
    <w:p w:rsidR="00C12B67" w:rsidRPr="00C12B67" w:rsidRDefault="00C12B67" w:rsidP="00C12B67">
      <w:pPr>
        <w:rPr>
          <w:iCs/>
        </w:rPr>
      </w:pPr>
    </w:p>
    <w:p w:rsidR="00972824" w:rsidRPr="00225BF7" w:rsidRDefault="00972824" w:rsidP="00225BF7">
      <w:pPr>
        <w:jc w:val="center"/>
        <w:rPr>
          <w:b/>
          <w:i/>
          <w:iCs/>
        </w:rPr>
      </w:pPr>
      <w:r w:rsidRPr="00225BF7">
        <w:rPr>
          <w:b/>
          <w:i/>
          <w:iCs/>
        </w:rPr>
        <w:t>Článek 6</w:t>
      </w:r>
    </w:p>
    <w:p w:rsidR="00C12B67" w:rsidRPr="00C12B67" w:rsidRDefault="00C12B67" w:rsidP="00F20A42">
      <w:pPr>
        <w:jc w:val="both"/>
        <w:rPr>
          <w:b/>
          <w:u w:val="single"/>
        </w:rPr>
      </w:pPr>
      <w:r w:rsidRPr="00C12B67">
        <w:rPr>
          <w:b/>
          <w:u w:val="single"/>
        </w:rPr>
        <w:t>1. Aniž je dotčen čl. 2 odst. 2, členské státy přijmou veškerá vhodná opatření vedoucí k zákazu nabývání a držení palných zbraní, jejich hlavních částí a střeliva zařazených do kategorie A. Členské státy zajistí, aby tyto palné zbraně, hlavní části a střelivo, které byly drženy protiprávně v rozporu s tímto zákazem, byly zabaveny.</w:t>
      </w:r>
    </w:p>
    <w:p w:rsidR="00C12B67" w:rsidRPr="00C12B67" w:rsidRDefault="00C12B67" w:rsidP="00F20A42">
      <w:pPr>
        <w:jc w:val="both"/>
        <w:rPr>
          <w:b/>
          <w:u w:val="single"/>
        </w:rPr>
      </w:pPr>
      <w:r w:rsidRPr="00C12B67">
        <w:rPr>
          <w:b/>
          <w:u w:val="single"/>
        </w:rPr>
        <w:t>2. V zájmu ochrany bezpečnosti kritické infrastruktury, obchodní dopravy, konvojů vysoké hodnoty a citlivých prostor, jakož i pro účely národní obrany, vzdělávací, kulturní, výzkumné a historické účely, a aniž je dotčen odstavec 1, mohou příslušné vnitrostátní orgány udělit povolení pro palné zbraně, jejich hlavní části a střelivo zařazené do kategorie A v jednotlivých případech výjimečně a s náležitým odůvodněním, není-li to v rozporu s veřejnou bezpečností a s veřejným pořádkem.</w:t>
      </w:r>
    </w:p>
    <w:p w:rsidR="00C12B67" w:rsidRPr="00C12B67" w:rsidRDefault="00C12B67" w:rsidP="00F20A42">
      <w:pPr>
        <w:jc w:val="both"/>
        <w:rPr>
          <w:b/>
          <w:u w:val="single"/>
        </w:rPr>
      </w:pPr>
      <w:r w:rsidRPr="00C12B67">
        <w:rPr>
          <w:b/>
          <w:u w:val="single"/>
        </w:rPr>
        <w:t xml:space="preserve">3. Členské státy se mohou rozhodnout, že v jednotlivých zvláštních případech, výjimečně a s náležitým odůvodněním udělí sběratelům povolení nabývat a držet palné zbraně, jejich hlavní části a střelivo zařazené do kategorie A, a to za přísných bezpečnostních podmínek, včetně prokázání </w:t>
      </w:r>
      <w:r w:rsidRPr="00C12B67">
        <w:rPr>
          <w:b/>
          <w:u w:val="single"/>
        </w:rPr>
        <w:lastRenderedPageBreak/>
        <w:t>příslušným vnitrostátním orgánům, že jsou zavedena opatření k zamezení veškerým rizikům pro veřejnou bezpečnost nebo veřejný pořádek a že dané palné zbraně, jejich hlavní části a střelivo jsou skladovány při zajištění úrovně bezpečnosti přiměřené rizikům spojeným s přístupem neoprávněné osoby k takovým předmětům.</w:t>
      </w:r>
    </w:p>
    <w:p w:rsidR="00C12B67" w:rsidRPr="00C12B67" w:rsidRDefault="00C12B67" w:rsidP="00F20A42">
      <w:pPr>
        <w:jc w:val="both"/>
        <w:rPr>
          <w:b/>
          <w:u w:val="single"/>
        </w:rPr>
      </w:pPr>
      <w:r w:rsidRPr="00C12B67">
        <w:rPr>
          <w:b/>
          <w:u w:val="single"/>
        </w:rPr>
        <w:t>Členské státy zajistí, aby byli sběratelé, kterým bylo uděleno povolení podle prvního pododstavce tohoto odstavce identifikovatelní v rámci systémů evidence údajů uvedených v článku 4. Sběratelé, kterým bylo takové povolení uděleno, jsou povinni vést evidenci veškerých palných zbraní zařazených do kategorie A ve svém držení, k níž mají příslušné vnitrostátní orgány přístup. Členské státy zavedou náležitý systém monitorování sběratelů, kterým bylo takové povolení uděleno, a zohlední přitom veškeré relevantní faktory.</w:t>
      </w:r>
    </w:p>
    <w:p w:rsidR="00C12B67" w:rsidRPr="00C12B67" w:rsidRDefault="00C12B67" w:rsidP="00F20A42">
      <w:pPr>
        <w:jc w:val="both"/>
        <w:rPr>
          <w:b/>
          <w:u w:val="single"/>
        </w:rPr>
      </w:pPr>
      <w:r w:rsidRPr="00C12B67">
        <w:rPr>
          <w:b/>
          <w:u w:val="single"/>
        </w:rPr>
        <w:t>4. Členské státy mohou povolit podnikatelům v oboru zbraní a zprostředkovatelům, aby za přísných bezpečnostních podmínek v rámci své profesní činnosti nabývali, vyráběli, znehodnocovali, opravovali, dodávali, převáděli a drželi palné zbraně, jejich hlavní části a střelivo zařazené do kategorie A.</w:t>
      </w:r>
    </w:p>
    <w:p w:rsidR="00C12B67" w:rsidRPr="00C12B67" w:rsidRDefault="00C12B67" w:rsidP="00F20A42">
      <w:pPr>
        <w:jc w:val="both"/>
        <w:rPr>
          <w:b/>
          <w:u w:val="single"/>
        </w:rPr>
      </w:pPr>
      <w:r w:rsidRPr="00C12B67">
        <w:rPr>
          <w:b/>
          <w:u w:val="single"/>
        </w:rPr>
        <w:t>5. Členské státy mohou povolit muzeím, aby za přísných bezpečnostních podmínek nabývala a držela palné zbraně, jejich hlavní části a střelivo zařazené do kategorie A.</w:t>
      </w:r>
    </w:p>
    <w:p w:rsidR="00C12B67" w:rsidRPr="00C12B67" w:rsidRDefault="00C12B67" w:rsidP="00F20A42">
      <w:pPr>
        <w:jc w:val="both"/>
        <w:rPr>
          <w:b/>
          <w:u w:val="single"/>
        </w:rPr>
      </w:pPr>
      <w:r w:rsidRPr="00C12B67">
        <w:rPr>
          <w:b/>
          <w:u w:val="single"/>
        </w:rPr>
        <w:t>6. Členské státy mohou povolit sportovním střelcům nabývat a držet samonabíjecí palné zbraně zařazené do kategorie A bodů 6 nebo 7, jsou-li splněny tyto podmínky:</w:t>
      </w:r>
    </w:p>
    <w:p w:rsidR="00C12B67" w:rsidRPr="00C12B67" w:rsidRDefault="00C12B67" w:rsidP="00F20A42">
      <w:pPr>
        <w:ind w:left="708"/>
        <w:jc w:val="both"/>
        <w:rPr>
          <w:b/>
          <w:u w:val="single"/>
        </w:rPr>
      </w:pPr>
      <w:r w:rsidRPr="00C12B67">
        <w:rPr>
          <w:b/>
          <w:u w:val="single"/>
        </w:rPr>
        <w:t>a) uspokojivé posouzení příslušných informací vyplývajících z uplatňování čl. 5 odst. 2;</w:t>
      </w:r>
    </w:p>
    <w:p w:rsidR="00C12B67" w:rsidRPr="00C12B67" w:rsidRDefault="00C12B67" w:rsidP="00F20A42">
      <w:pPr>
        <w:ind w:left="708"/>
        <w:jc w:val="both"/>
        <w:rPr>
          <w:b/>
          <w:u w:val="single"/>
        </w:rPr>
      </w:pPr>
      <w:r w:rsidRPr="00C12B67">
        <w:rPr>
          <w:b/>
          <w:u w:val="single"/>
        </w:rPr>
        <w:t>b) předložení dokladu, že dotčený sportovní střelec aktivně trénuje nebo se účastní soutěží ve střelbě uznaných úředně uznanou sportovně střeleckou organizací dotčeného členského státu nebo mezinárodním úředně uznaným sportovně střeleckých svazem; a</w:t>
      </w:r>
    </w:p>
    <w:p w:rsidR="00C12B67" w:rsidRPr="00C12B67" w:rsidRDefault="00C12B67" w:rsidP="00F20A42">
      <w:pPr>
        <w:ind w:left="708"/>
        <w:jc w:val="both"/>
        <w:rPr>
          <w:b/>
          <w:u w:val="single"/>
        </w:rPr>
      </w:pPr>
      <w:r w:rsidRPr="00C12B67">
        <w:rPr>
          <w:b/>
          <w:u w:val="single"/>
        </w:rPr>
        <w:t>c) předložení osvědčení vydaného úředně uznanou sportovně střeleckou organizací, v němž se potvrzuje, že:</w:t>
      </w:r>
    </w:p>
    <w:p w:rsidR="00C12B67" w:rsidRPr="00C12B67" w:rsidRDefault="00C12B67" w:rsidP="00F20A42">
      <w:pPr>
        <w:ind w:left="1416"/>
        <w:jc w:val="both"/>
        <w:rPr>
          <w:b/>
          <w:u w:val="single"/>
        </w:rPr>
      </w:pPr>
      <w:r w:rsidRPr="00C12B67">
        <w:rPr>
          <w:b/>
          <w:u w:val="single"/>
        </w:rPr>
        <w:t>i) dotčený sportovní střelec je členem střeleckého klubu a během posledních 12 měsíců v něm sportovní střelbu pravidelně trénoval a</w:t>
      </w:r>
    </w:p>
    <w:p w:rsidR="00C12B67" w:rsidRPr="00C12B67" w:rsidRDefault="00C12B67" w:rsidP="00F20A42">
      <w:pPr>
        <w:ind w:left="1416"/>
        <w:jc w:val="both"/>
        <w:rPr>
          <w:b/>
          <w:u w:val="single"/>
        </w:rPr>
      </w:pPr>
      <w:r w:rsidRPr="00C12B67">
        <w:rPr>
          <w:b/>
          <w:u w:val="single"/>
        </w:rPr>
        <w:t>ii) dotčená palná zbraň splňuje specifikace požadované pro střeleckou disciplínu uznanou mezinárodním úředně uznaným sportovně střeleckým svazem.</w:t>
      </w:r>
    </w:p>
    <w:p w:rsidR="00C12B67" w:rsidRPr="00C12B67" w:rsidRDefault="00C12B67" w:rsidP="00F20A42">
      <w:pPr>
        <w:jc w:val="both"/>
        <w:rPr>
          <w:b/>
          <w:u w:val="single"/>
        </w:rPr>
      </w:pPr>
      <w:r w:rsidRPr="00C12B67">
        <w:rPr>
          <w:b/>
          <w:u w:val="single"/>
        </w:rPr>
        <w:t>Členské státy, které mají vojenský systém založený na branné povinnosti a které po dobu posledních 50 let uplatňovaly systém převodu vojenských palných zbraní osobám opouštějícím vojsko poté, co vykonaly vojenskou službu, mohou těmto osobám jakožto sportovním střelcům, pokud jde o palné zbraně zařazené do kategorie A bodu 6, udělit povolení k tomu, aby si ponechaly jednu palnou zbraň, kterou používaly během povinné vojenské služby. Odpovědný orgán veřejné moci přemění tyto palné zbraně na samonabíjecí palné zbraně a pravidelně kontroluje, že osoby používající tyto palné zbraně nepředstavují riziko pro veřejnou bezpečnost. Použijí se ustanovení prvního pododstavce písm. a), b) a c).</w:t>
      </w:r>
    </w:p>
    <w:p w:rsidR="00C12B67" w:rsidRDefault="00C12B67" w:rsidP="00F20A42">
      <w:pPr>
        <w:jc w:val="both"/>
      </w:pPr>
      <w:r w:rsidRPr="00C12B67">
        <w:rPr>
          <w:b/>
          <w:u w:val="single"/>
        </w:rPr>
        <w:t>7. Povolení udělená podle tohoto článku se pravidelně přezkoumávají, nejpozději každých pět let.</w:t>
      </w:r>
    </w:p>
    <w:p w:rsidR="00972824" w:rsidRPr="00C12B67" w:rsidRDefault="00972824" w:rsidP="00F20A42">
      <w:pPr>
        <w:jc w:val="both"/>
        <w:rPr>
          <w:strike/>
        </w:rPr>
      </w:pPr>
      <w:r w:rsidRPr="00C12B67">
        <w:rPr>
          <w:strike/>
        </w:rPr>
        <w:lastRenderedPageBreak/>
        <w:t>Členské státy přijmou veškerá vhodná opatření vedoucí k zákazu nabývání a držení palných zbraní</w:t>
      </w:r>
      <w:r w:rsidRPr="00C12B67">
        <w:rPr>
          <w:b/>
          <w:bCs/>
          <w:strike/>
        </w:rPr>
        <w:t> </w:t>
      </w:r>
      <w:r w:rsidRPr="00C12B67">
        <w:rPr>
          <w:strike/>
        </w:rPr>
        <w:t>a střeliva kategorie A. Ve zvláštních případech mohou příslušné orgány udělit povolení pro výše uvedené palné zbraně</w:t>
      </w:r>
      <w:r w:rsidRPr="00C12B67">
        <w:rPr>
          <w:b/>
          <w:bCs/>
          <w:strike/>
        </w:rPr>
        <w:t> </w:t>
      </w:r>
      <w:r w:rsidRPr="00C12B67">
        <w:rPr>
          <w:strike/>
        </w:rPr>
        <w:t>a střelivo, pokud to neodporuje veřejné bezpečnosti a veřejnému pořádku.</w:t>
      </w:r>
    </w:p>
    <w:p w:rsidR="00972824" w:rsidRPr="00972824" w:rsidRDefault="00972824" w:rsidP="00F20A42">
      <w:pPr>
        <w:jc w:val="both"/>
      </w:pPr>
      <w:r w:rsidRPr="00C12B67">
        <w:rPr>
          <w:strike/>
        </w:rPr>
        <w:t>Členské státy zajistí, že s výjimkou podnikatelů v oboru zbraní je nabývání palných zbraní</w:t>
      </w:r>
      <w:r w:rsidRPr="00C12B67">
        <w:rPr>
          <w:b/>
          <w:bCs/>
          <w:strike/>
        </w:rPr>
        <w:t> </w:t>
      </w:r>
      <w:r w:rsidRPr="00C12B67">
        <w:rPr>
          <w:strike/>
        </w:rPr>
        <w:t>a jejich součástí a střeliva pomocí prostředků komunikace na dálku definovaných v článku 2 směrnice Evropského parlamentu a Rady 97/7/ES ze dne 20. května 1997 o ochraně spotřebitele v př</w:t>
      </w:r>
      <w:r w:rsidR="00225BF7" w:rsidRPr="00C12B67">
        <w:rPr>
          <w:strike/>
        </w:rPr>
        <w:t>ípadě smluv uzavřených na dálku</w:t>
      </w:r>
      <w:r w:rsidR="00225BF7" w:rsidRPr="00C12B67">
        <w:rPr>
          <w:rStyle w:val="Znakapoznpodarou"/>
          <w:strike/>
        </w:rPr>
        <w:footnoteReference w:id="4"/>
      </w:r>
      <w:r w:rsidR="00225BF7" w:rsidRPr="00C12B67">
        <w:rPr>
          <w:strike/>
          <w:vertAlign w:val="superscript"/>
        </w:rPr>
        <w:t>)</w:t>
      </w:r>
      <w:r w:rsidRPr="00C12B67">
        <w:rPr>
          <w:strike/>
        </w:rPr>
        <w:t>, pokud je povoleno, přísně kontrolováno.</w:t>
      </w:r>
    </w:p>
    <w:p w:rsidR="002844E0" w:rsidRDefault="002844E0" w:rsidP="00972824">
      <w:pPr>
        <w:rPr>
          <w:b/>
          <w:bCs/>
        </w:rPr>
      </w:pPr>
    </w:p>
    <w:p w:rsidR="00972824" w:rsidRPr="00225BF7" w:rsidRDefault="00972824" w:rsidP="00225BF7">
      <w:pPr>
        <w:jc w:val="center"/>
        <w:rPr>
          <w:b/>
          <w:i/>
          <w:iCs/>
        </w:rPr>
      </w:pPr>
      <w:r w:rsidRPr="00225BF7">
        <w:rPr>
          <w:b/>
          <w:i/>
          <w:iCs/>
        </w:rPr>
        <w:t>Článek 7</w:t>
      </w:r>
    </w:p>
    <w:p w:rsidR="00972824" w:rsidRPr="00972824" w:rsidRDefault="00972824" w:rsidP="00F20A42">
      <w:pPr>
        <w:jc w:val="both"/>
      </w:pPr>
      <w:r w:rsidRPr="00972824">
        <w:t>1.   Palná zbraň</w:t>
      </w:r>
      <w:r w:rsidRPr="00972824">
        <w:rPr>
          <w:b/>
          <w:bCs/>
        </w:rPr>
        <w:t> </w:t>
      </w:r>
      <w:r w:rsidRPr="00972824">
        <w:t>kategorie B nemůže být na území členského státu nabyta bez povolení, které udělí tento členský stát nabyvateli.</w:t>
      </w:r>
    </w:p>
    <w:p w:rsidR="00972824" w:rsidRPr="00972824" w:rsidRDefault="00972824" w:rsidP="00F20A42">
      <w:pPr>
        <w:jc w:val="both"/>
      </w:pPr>
      <w:r w:rsidRPr="00972824">
        <w:t>Toto povolení nemůže být uděleno osobě s bydlištěm v jiném členském státě bez předchozího souhlasu tohoto státu.</w:t>
      </w:r>
    </w:p>
    <w:p w:rsidR="00972824" w:rsidRPr="00972824" w:rsidRDefault="00972824" w:rsidP="00F20A42">
      <w:pPr>
        <w:jc w:val="both"/>
      </w:pPr>
      <w:r w:rsidRPr="00972824">
        <w:t>2.   Palná zbraň</w:t>
      </w:r>
      <w:r w:rsidRPr="00972824">
        <w:rPr>
          <w:b/>
          <w:bCs/>
        </w:rPr>
        <w:t> </w:t>
      </w:r>
      <w:r w:rsidRPr="00972824">
        <w:t>kategorie B nemůže být na území členského státu držena bez povolení, které udělí tento členský stát držiteli. Má-li držitel zbraně bydliště v jiném členském státě, je dotyčný členský stát o udělení povolení uvědomen.</w:t>
      </w:r>
    </w:p>
    <w:p w:rsidR="00972824" w:rsidRPr="00972824" w:rsidRDefault="00972824" w:rsidP="00F20A42">
      <w:pPr>
        <w:jc w:val="both"/>
      </w:pPr>
      <w:r w:rsidRPr="00972824">
        <w:t>3.  Povolení nabývat a povolení držet palnou zbraň</w:t>
      </w:r>
      <w:r w:rsidRPr="00972824">
        <w:rPr>
          <w:b/>
          <w:bCs/>
        </w:rPr>
        <w:t> </w:t>
      </w:r>
      <w:r w:rsidRPr="00972824">
        <w:t>kategorie B může být uděleno jediným správním rozhodnutím.</w:t>
      </w:r>
    </w:p>
    <w:p w:rsidR="00972824" w:rsidRPr="00972824" w:rsidRDefault="00972824" w:rsidP="00F20A42">
      <w:pPr>
        <w:jc w:val="both"/>
      </w:pPr>
      <w:r w:rsidRPr="00972824">
        <w:t>4.  Členské státy mohou zvážit udělení víceleté licence pro nabývání a držení veškerých palných zbraní</w:t>
      </w:r>
      <w:r w:rsidRPr="00972824">
        <w:rPr>
          <w:b/>
          <w:bCs/>
        </w:rPr>
        <w:t> </w:t>
      </w:r>
      <w:r w:rsidRPr="00972824">
        <w:t>podléhajících povolení osobě, která splňuje podmínky pro udělení povolení pro palné zbraně, aniž jsou dotčeny</w:t>
      </w:r>
    </w:p>
    <w:p w:rsidR="00972824" w:rsidRPr="00972824" w:rsidRDefault="00972824" w:rsidP="00F20A42">
      <w:pPr>
        <w:jc w:val="both"/>
      </w:pPr>
      <w:r w:rsidRPr="00972824">
        <w:t>a) povinnost oznámit převody příslušným úřadům;</w:t>
      </w:r>
    </w:p>
    <w:p w:rsidR="00972824" w:rsidRPr="00972824" w:rsidRDefault="00972824" w:rsidP="00F20A42">
      <w:pPr>
        <w:jc w:val="both"/>
      </w:pPr>
      <w:r w:rsidRPr="00972824">
        <w:t>b) pravidelné ověřování, že tato osoba nadále splňuje podmínky, a</w:t>
      </w:r>
    </w:p>
    <w:p w:rsidR="00972824" w:rsidRDefault="00972824" w:rsidP="00F20A42">
      <w:pPr>
        <w:jc w:val="both"/>
      </w:pPr>
      <w:r w:rsidRPr="00972824">
        <w:t>c) maximální limity pro držení zbraní stanovené vnitrostátním právem.</w:t>
      </w:r>
    </w:p>
    <w:p w:rsidR="00C12B67" w:rsidRDefault="00C12B67" w:rsidP="00F20A42">
      <w:pPr>
        <w:jc w:val="both"/>
        <w:rPr>
          <w:b/>
          <w:u w:val="single"/>
        </w:rPr>
      </w:pPr>
      <w:r w:rsidRPr="00C12B67">
        <w:rPr>
          <w:b/>
          <w:u w:val="single"/>
        </w:rPr>
        <w:t>Povolení k držení palné zbraně se pravidelně přezkoumává, nejpozději každých pět let. Povolení může být obnoveno nebo prodlouženo, jsou-li nadále splněny podmínky, na jejichž základě bylo uděleno.</w:t>
      </w:r>
    </w:p>
    <w:p w:rsidR="00C12B67" w:rsidRPr="00C12B67" w:rsidRDefault="00C12B67" w:rsidP="00F20A42">
      <w:pPr>
        <w:jc w:val="both"/>
        <w:rPr>
          <w:b/>
          <w:u w:val="single"/>
        </w:rPr>
      </w:pPr>
      <w:r w:rsidRPr="00C12B67">
        <w:rPr>
          <w:b/>
          <w:u w:val="single"/>
        </w:rPr>
        <w:t xml:space="preserve">4a. Členské státy mohou potvrdit, obnovit nebo prodloužit povolení pro samonabíjecí palné zbraně zařazené do kategorie A bodů 6, 7 nebo 8 v případě palné zbraně, která byla zařazena do kategorie B a byla zákonně nabyta a registrována před ... [den vstupu této pozměňující směrnice v platnost], pokud jsou splněny další podmínky stanovené v této směrnici. Členské státy mohou dále povolit, </w:t>
      </w:r>
      <w:r w:rsidRPr="00C12B67">
        <w:rPr>
          <w:b/>
          <w:u w:val="single"/>
        </w:rPr>
        <w:lastRenderedPageBreak/>
        <w:t>aby tyto palné zbraně byly nabyty jinými osobami, jimž členské státy udělily povolení v souladu s touto směrnicí ve znění směrnice Evrops</w:t>
      </w:r>
      <w:r>
        <w:rPr>
          <w:b/>
          <w:u w:val="single"/>
        </w:rPr>
        <w:t>kého parlamentu a Rady 2017/...</w:t>
      </w:r>
      <w:r>
        <w:rPr>
          <w:rStyle w:val="Znakapoznpodarou"/>
          <w:b/>
          <w:u w:val="single"/>
        </w:rPr>
        <w:footnoteReference w:id="5"/>
      </w:r>
      <w:r>
        <w:rPr>
          <w:b/>
          <w:u w:val="single"/>
        </w:rPr>
        <w:t>.</w:t>
      </w:r>
    </w:p>
    <w:p w:rsidR="00972824" w:rsidRPr="00972824" w:rsidRDefault="00972824" w:rsidP="00F20A42">
      <w:pPr>
        <w:jc w:val="both"/>
      </w:pPr>
      <w:r w:rsidRPr="00972824">
        <w:t>5.  Členské státy přijmou pravidla k zajištění toho, aby osoby, které jsou ke dni 28. července 2008 držiteli povolení pro palné zbraně</w:t>
      </w:r>
      <w:r w:rsidRPr="00972824">
        <w:rPr>
          <w:b/>
          <w:bCs/>
        </w:rPr>
        <w:t> </w:t>
      </w:r>
      <w:r w:rsidRPr="00972824">
        <w:t>kategorie B podle vnitrostátního práva, nemusely žádat o licenci nebo povolení pro ty palné zbraně, které drží v kategoriích C nebo D, v důsledku vstupu směrnice Evropského parlamentu a Rady 2008/51/ES ze dne 21. května 2008</w:t>
      </w:r>
      <w:r w:rsidR="00225BF7" w:rsidRPr="00225BF7">
        <w:rPr>
          <w:rStyle w:val="Znakapoznpodarou"/>
        </w:rPr>
        <w:footnoteReference w:id="6"/>
      </w:r>
      <w:r w:rsidR="00225BF7" w:rsidRPr="00225BF7">
        <w:rPr>
          <w:vertAlign w:val="superscript"/>
        </w:rPr>
        <w:t>)</w:t>
      </w:r>
      <w:r w:rsidRPr="00972824">
        <w:t>  v platnost. Avšak jakýkoli další převod palných zbraní</w:t>
      </w:r>
      <w:r w:rsidRPr="00972824">
        <w:rPr>
          <w:b/>
          <w:bCs/>
        </w:rPr>
        <w:t> </w:t>
      </w:r>
      <w:r w:rsidRPr="00972824">
        <w:t>kategorie C nebo D je podmíněn tím, že nabyvatel získá či vlastní licenci nebo mu bude konkrétně povoleno tyto palné zbraně</w:t>
      </w:r>
      <w:r w:rsidRPr="00972824">
        <w:rPr>
          <w:b/>
          <w:bCs/>
        </w:rPr>
        <w:t> </w:t>
      </w:r>
      <w:r w:rsidRPr="00972824">
        <w:t>vlastnit v souladu s vnitrostátním právem.</w:t>
      </w:r>
    </w:p>
    <w:p w:rsidR="002844E0" w:rsidRDefault="002844E0" w:rsidP="00972824">
      <w:pPr>
        <w:rPr>
          <w:b/>
          <w:bCs/>
        </w:rPr>
      </w:pPr>
    </w:p>
    <w:p w:rsidR="00972824" w:rsidRPr="00225BF7" w:rsidRDefault="00972824" w:rsidP="00225BF7">
      <w:pPr>
        <w:jc w:val="center"/>
        <w:rPr>
          <w:b/>
          <w:i/>
          <w:iCs/>
        </w:rPr>
      </w:pPr>
      <w:r w:rsidRPr="00225BF7">
        <w:rPr>
          <w:b/>
          <w:i/>
          <w:iCs/>
        </w:rPr>
        <w:t>Článek 8</w:t>
      </w:r>
    </w:p>
    <w:p w:rsidR="00972824" w:rsidRPr="00972824" w:rsidRDefault="00972824" w:rsidP="00F20A42">
      <w:pPr>
        <w:jc w:val="both"/>
      </w:pPr>
      <w:r w:rsidRPr="00972824">
        <w:t>1.   Palnou zbraň</w:t>
      </w:r>
      <w:r w:rsidRPr="00972824">
        <w:rPr>
          <w:b/>
          <w:bCs/>
        </w:rPr>
        <w:t> </w:t>
      </w:r>
      <w:r w:rsidRPr="00972824">
        <w:t>kategorie C není možné držet, pokud ji držitel neohlásí orgánům členského státu, ve kterém je tato zbraň držena.</w:t>
      </w:r>
    </w:p>
    <w:p w:rsidR="00972824" w:rsidRPr="00972824" w:rsidRDefault="00972824" w:rsidP="00F20A42">
      <w:pPr>
        <w:jc w:val="both"/>
      </w:pPr>
      <w:r w:rsidRPr="00972824">
        <w:t>Členské státy stanoví povinné ohlášení všech palných zbraní</w:t>
      </w:r>
      <w:r w:rsidRPr="00972824">
        <w:rPr>
          <w:b/>
          <w:bCs/>
        </w:rPr>
        <w:t> </w:t>
      </w:r>
      <w:r w:rsidRPr="00972824">
        <w:t>kategorie C v současné době držených na jejich území, a to ve lhůtě jednoho roku po nabytí účinnosti vnitrostátních předpisů provádějících tuto směrnici.</w:t>
      </w:r>
    </w:p>
    <w:p w:rsidR="00972824" w:rsidRPr="00972824" w:rsidRDefault="00972824" w:rsidP="00F20A42">
      <w:pPr>
        <w:jc w:val="both"/>
      </w:pPr>
      <w:r w:rsidRPr="00972824">
        <w:t>2.  Každý prodejce, podnikatel v oboru zbraní nebo soukromá osoba uvědomí orgány členského státu o každém převodu nebo předání palné zbraně</w:t>
      </w:r>
      <w:r w:rsidRPr="00972824">
        <w:rPr>
          <w:b/>
          <w:bCs/>
        </w:rPr>
        <w:t> </w:t>
      </w:r>
      <w:r w:rsidRPr="00972824">
        <w:t>kategorie C a upřesní identifikační prvky nabyvatele a  palné zbraně. Má-li nabyvatel bydliště v jiném členském státě, je tento členský stát o nabytí informován členským státem, ve kterém k nabytí došlo, a nabyvatelem.</w:t>
      </w:r>
    </w:p>
    <w:p w:rsidR="00972824" w:rsidRPr="00972824" w:rsidRDefault="00972824" w:rsidP="00F20A42">
      <w:pPr>
        <w:jc w:val="both"/>
      </w:pPr>
      <w:r w:rsidRPr="00972824">
        <w:t>3.  </w:t>
      </w:r>
      <w:r w:rsidR="00C12B67" w:rsidRPr="00C12B67">
        <w:rPr>
          <w:b/>
          <w:u w:val="single"/>
        </w:rPr>
        <w:t>Jestliže členský stát zakáže na svém území nabývání a držení určité palné zbraně zařazené do kategorie B nebo C nebo je podmíní udělením povolení, uvědomí o tom ostatní členské státy, které poznámku o tom výslovně zaznamenají do veškerých evropských zbrojních pasů, které pro takovou palnou zbraň vydají, podle čl. 12 odst. 2.</w:t>
      </w:r>
      <w:r w:rsidR="00C12B67">
        <w:t xml:space="preserve"> </w:t>
      </w:r>
      <w:r w:rsidRPr="00C12B67">
        <w:rPr>
          <w:strike/>
        </w:rPr>
        <w:t>Jestliže členský stát na svém území nabývání a držení určité palné zbraně</w:t>
      </w:r>
      <w:r w:rsidRPr="00C12B67">
        <w:rPr>
          <w:b/>
          <w:bCs/>
          <w:strike/>
        </w:rPr>
        <w:t> </w:t>
      </w:r>
      <w:r w:rsidRPr="00C12B67">
        <w:rPr>
          <w:strike/>
        </w:rPr>
        <w:t>kategorie B, C nebo D zakazuje nebo podmiňuje udělením povolení, uvědomí o tom ostatní členské státy, které tento údaj výslovně zaznamenají do Evropského zbrojního pasu vydaného pro takovou zbraň podle čl. 12 odst. 2.</w:t>
      </w:r>
    </w:p>
    <w:p w:rsidR="002844E0" w:rsidRDefault="002844E0" w:rsidP="00972824">
      <w:pPr>
        <w:rPr>
          <w:i/>
          <w:iCs/>
        </w:rPr>
      </w:pPr>
    </w:p>
    <w:p w:rsidR="00972824" w:rsidRPr="00225BF7" w:rsidRDefault="00972824" w:rsidP="00225BF7">
      <w:pPr>
        <w:jc w:val="center"/>
        <w:rPr>
          <w:b/>
          <w:i/>
          <w:iCs/>
        </w:rPr>
      </w:pPr>
      <w:r w:rsidRPr="00225BF7">
        <w:rPr>
          <w:b/>
          <w:i/>
          <w:iCs/>
        </w:rPr>
        <w:t>Článek 9</w:t>
      </w:r>
    </w:p>
    <w:p w:rsidR="00972824" w:rsidRPr="00972824" w:rsidRDefault="00972824" w:rsidP="00F20A42">
      <w:pPr>
        <w:jc w:val="both"/>
      </w:pPr>
      <w:r w:rsidRPr="00972824">
        <w:t>1.  Předání palné zbraně</w:t>
      </w:r>
      <w:r w:rsidRPr="00972824">
        <w:rPr>
          <w:b/>
          <w:bCs/>
        </w:rPr>
        <w:t> </w:t>
      </w:r>
      <w:r w:rsidRPr="00972824">
        <w:t>kategorie A, B nebo C osobě, která nemá bydliště v dotyčném členském státě, je za podmínky dodržení povinností stanovených v článcích 6, 7 a 8 povoleno</w:t>
      </w:r>
    </w:p>
    <w:p w:rsidR="00972824" w:rsidRPr="00972824" w:rsidRDefault="00972824" w:rsidP="00F20A42">
      <w:pPr>
        <w:jc w:val="both"/>
      </w:pPr>
      <w:r w:rsidRPr="00972824">
        <w:t>— nabyvateli, který získal v souladu s článkem 11 povolení uskutečnit přepravu do země, kde má bydliště,</w:t>
      </w:r>
    </w:p>
    <w:p w:rsidR="00972824" w:rsidRPr="00972824" w:rsidRDefault="00972824" w:rsidP="00F20A42">
      <w:pPr>
        <w:jc w:val="both"/>
      </w:pPr>
      <w:r w:rsidRPr="00972824">
        <w:t>— nabyvateli, který předloží písemné prohlášení uvádějící a osvědčující jeho úmysl palnou zbraň</w:t>
      </w:r>
      <w:r w:rsidRPr="00972824">
        <w:rPr>
          <w:b/>
          <w:bCs/>
        </w:rPr>
        <w:t> </w:t>
      </w:r>
      <w:r w:rsidRPr="00972824">
        <w:t>držet v členském státě jejího nabytí za podmínky, že splňuje zákonné podmínky jejího držení.</w:t>
      </w:r>
    </w:p>
    <w:p w:rsidR="00972824" w:rsidRPr="00972824" w:rsidRDefault="00972824" w:rsidP="00F20A42">
      <w:pPr>
        <w:jc w:val="both"/>
      </w:pPr>
      <w:r w:rsidRPr="00972824">
        <w:lastRenderedPageBreak/>
        <w:t>2.  Členské státy mohou povolit dočasné předání palných zbraní</w:t>
      </w:r>
      <w:r w:rsidRPr="00972824">
        <w:rPr>
          <w:b/>
          <w:bCs/>
        </w:rPr>
        <w:t> </w:t>
      </w:r>
      <w:r w:rsidRPr="00972824">
        <w:t>a určí jeho postup.</w:t>
      </w:r>
    </w:p>
    <w:p w:rsidR="002844E0" w:rsidRDefault="002844E0" w:rsidP="00F20A42">
      <w:pPr>
        <w:jc w:val="both"/>
        <w:rPr>
          <w:i/>
          <w:iCs/>
        </w:rPr>
      </w:pPr>
    </w:p>
    <w:p w:rsidR="00972824" w:rsidRPr="00225BF7" w:rsidRDefault="00972824" w:rsidP="00225BF7">
      <w:pPr>
        <w:jc w:val="center"/>
        <w:rPr>
          <w:b/>
          <w:i/>
          <w:iCs/>
        </w:rPr>
      </w:pPr>
      <w:r w:rsidRPr="00225BF7">
        <w:rPr>
          <w:b/>
          <w:i/>
          <w:iCs/>
        </w:rPr>
        <w:t>Článek 10</w:t>
      </w:r>
    </w:p>
    <w:p w:rsidR="00C12B67" w:rsidRPr="00C12B67" w:rsidRDefault="00C12B67" w:rsidP="00F20A42">
      <w:pPr>
        <w:jc w:val="both"/>
        <w:rPr>
          <w:b/>
          <w:u w:val="single"/>
        </w:rPr>
      </w:pPr>
      <w:r w:rsidRPr="00C12B67">
        <w:rPr>
          <w:b/>
          <w:u w:val="single"/>
        </w:rPr>
        <w:t>1. Úprava nabývání a držení střeliva je shodná s úpravou držení palných zbraní, pro které je toto střelivo určeno.</w:t>
      </w:r>
    </w:p>
    <w:p w:rsidR="00C12B67" w:rsidRPr="00C12B67" w:rsidRDefault="00C12B67" w:rsidP="00F20A42">
      <w:pPr>
        <w:jc w:val="both"/>
        <w:rPr>
          <w:b/>
          <w:u w:val="single"/>
        </w:rPr>
      </w:pPr>
      <w:r w:rsidRPr="00C12B67">
        <w:rPr>
          <w:b/>
          <w:u w:val="single"/>
        </w:rPr>
        <w:t>Nabývat zásobovací ústrojí pro samonabíjecí palné zbraně pro střelivo se středovým zápalem, které mohou pojmout více než 20 nábojů nebo více než 10 nábojů v případě dlouhých palných zbraní, smí pouze osoby, jimž je uděleno povolení podle článku 6 nebo povolení, které bylo potvrzeno, obnoveno nebo prodlouženo podle čl. 7 odst. 4a.</w:t>
      </w:r>
    </w:p>
    <w:p w:rsidR="00C12B67" w:rsidRDefault="00C12B67" w:rsidP="00F20A42">
      <w:pPr>
        <w:jc w:val="both"/>
      </w:pPr>
      <w:r w:rsidRPr="00C12B67">
        <w:rPr>
          <w:b/>
          <w:u w:val="single"/>
        </w:rPr>
        <w:t>2. Podnikatelé v oboru zbraní a zprostředkovatelé mohou odmítnout provést jakoukoli transakci spočívající v nabytí kompletních nábojů nebo komponentů střeliva, kterou důvodně považují za podezřelou vzhledem k její povaze či rozsahu, a jakýkoli takový pokus o transakci oznámí příslušným orgánům.</w:t>
      </w:r>
    </w:p>
    <w:p w:rsidR="00972824" w:rsidRPr="00C12B67" w:rsidRDefault="00972824" w:rsidP="00F20A42">
      <w:pPr>
        <w:jc w:val="both"/>
        <w:rPr>
          <w:strike/>
        </w:rPr>
      </w:pPr>
      <w:r w:rsidRPr="00C12B67">
        <w:rPr>
          <w:strike/>
        </w:rPr>
        <w:t>Úprava nabývání a držení střeliva je shodná s úpravou držení palných zbraní, pro které je toto střelivo určeno.</w:t>
      </w:r>
    </w:p>
    <w:p w:rsidR="00972824" w:rsidRDefault="00972824" w:rsidP="00972824"/>
    <w:p w:rsidR="00A8717D" w:rsidRPr="00A8717D" w:rsidRDefault="00A8717D" w:rsidP="00A8717D">
      <w:pPr>
        <w:jc w:val="center"/>
        <w:rPr>
          <w:b/>
          <w:i/>
          <w:u w:val="single"/>
        </w:rPr>
      </w:pPr>
      <w:r w:rsidRPr="00A8717D">
        <w:rPr>
          <w:b/>
          <w:i/>
          <w:u w:val="single"/>
        </w:rPr>
        <w:t>Článek 10a</w:t>
      </w:r>
    </w:p>
    <w:p w:rsidR="00A8717D" w:rsidRPr="00A8717D" w:rsidRDefault="00A8717D" w:rsidP="00F20A42">
      <w:pPr>
        <w:jc w:val="both"/>
        <w:rPr>
          <w:b/>
          <w:u w:val="single"/>
        </w:rPr>
      </w:pPr>
      <w:r w:rsidRPr="00A8717D">
        <w:rPr>
          <w:b/>
          <w:u w:val="single"/>
        </w:rPr>
        <w:t>1. Členské státy přijmou opatření s cílem zajistit, aby zařízení s držákem nábojů, která jsou určena pouze ke střelbě s využitím nábojek nebo cvičných nábojů, dráždivých látek, jiných účinných látek nebo pyrotechnických nábojů nemohla být přeměněna tak, aby vystřelovala hromadnou nebo jednotnou střelu nebo jiný projektil působením okamžitého uvolnění chemické energie.</w:t>
      </w:r>
    </w:p>
    <w:p w:rsidR="00A8717D" w:rsidRPr="00A8717D" w:rsidRDefault="00A8717D" w:rsidP="00F20A42">
      <w:pPr>
        <w:jc w:val="both"/>
        <w:rPr>
          <w:b/>
          <w:u w:val="single"/>
        </w:rPr>
      </w:pPr>
      <w:r w:rsidRPr="00A8717D">
        <w:rPr>
          <w:b/>
          <w:u w:val="single"/>
        </w:rPr>
        <w:t>2. Členské státy klasifikují jako palné zbraně zařízení s držákem nábojů, která jsou určena pouze ke střelbě s využitím nábojek nebo cvičných nábojů, dráždivých látek, jiných účinných látek nebo pyrotechnických signálních nábojů a mohou být přeměněna tak, aby vystřelovala hromadnou nebo jednotnou střelu nebo jiný projektil působením okamžitého uvolnění chemické energie.</w:t>
      </w:r>
    </w:p>
    <w:p w:rsidR="00A8717D" w:rsidRPr="00A8717D" w:rsidRDefault="00A8717D" w:rsidP="00F20A42">
      <w:pPr>
        <w:jc w:val="both"/>
        <w:rPr>
          <w:b/>
          <w:u w:val="single"/>
        </w:rPr>
      </w:pPr>
      <w:r w:rsidRPr="00A8717D">
        <w:rPr>
          <w:b/>
          <w:u w:val="single"/>
        </w:rPr>
        <w:t>3. Komise přijme prováděcí akty, jimiž stanoví technické specifikace pro poplašné a signální zbraně vyrobené nebo dovezené do Unie dne ... [15 měsíců po vstupu této pozměňující směrnice v platnost] nebo později , aby bylo zajištěno, že nemohou být přeměněny tak, aby vystřelovaly hromadnou nebo jednotnou střelu nebo jiný projektil působením okamžitého uvolnění chemické energie . Tyto prováděcí akty se přijímají přezkumným postupem podle čl. 13b odst. 2. Komise přijme první takový prováděcí akt do ... [15 měsíců po vstupu této pozměňující směrnice v platnost].</w:t>
      </w:r>
    </w:p>
    <w:p w:rsidR="00A8717D" w:rsidRPr="00A8717D" w:rsidRDefault="00A8717D" w:rsidP="00A8717D">
      <w:pPr>
        <w:rPr>
          <w:b/>
          <w:u w:val="single"/>
        </w:rPr>
      </w:pPr>
    </w:p>
    <w:p w:rsidR="00A8717D" w:rsidRPr="00A8717D" w:rsidRDefault="00A8717D" w:rsidP="00A8717D">
      <w:pPr>
        <w:jc w:val="center"/>
        <w:rPr>
          <w:b/>
          <w:i/>
          <w:u w:val="single"/>
        </w:rPr>
      </w:pPr>
      <w:r w:rsidRPr="00A8717D">
        <w:rPr>
          <w:b/>
          <w:i/>
          <w:u w:val="single"/>
        </w:rPr>
        <w:t>Článek 10b</w:t>
      </w:r>
    </w:p>
    <w:p w:rsidR="00A8717D" w:rsidRPr="00A8717D" w:rsidRDefault="00A8717D" w:rsidP="00F20A42">
      <w:pPr>
        <w:jc w:val="both"/>
        <w:rPr>
          <w:b/>
          <w:u w:val="single"/>
        </w:rPr>
      </w:pPr>
      <w:r w:rsidRPr="00A8717D">
        <w:rPr>
          <w:b/>
          <w:u w:val="single"/>
        </w:rPr>
        <w:t xml:space="preserve">1. Členské státy přijmou opatření k tomu, aby znehodnocení palných zbraní zkontroloval příslušný orgán, a bylo tak zajištěno, že v důsledku úprav provedených na palné zbrani jsou všechny její </w:t>
      </w:r>
      <w:r w:rsidRPr="00A8717D">
        <w:rPr>
          <w:b/>
          <w:u w:val="single"/>
        </w:rPr>
        <w:lastRenderedPageBreak/>
        <w:t>hlavní části trvale nefunkční a nelze je odstranit, nahradit nebo upravit způsobem, který by jakkoli umožnil uschopnění palné zbraně ke střelbě. Členské státy v rámci uvedené kontroly zajistí vydání osvědčení a pořízení záznamu, které potvrzují znehodnocení palné zbraně, a umístění zřetelného odpovídajícího označení na palnou zbraň.</w:t>
      </w:r>
    </w:p>
    <w:p w:rsidR="00A8717D" w:rsidRPr="00A8717D" w:rsidRDefault="00A8717D" w:rsidP="00F20A42">
      <w:pPr>
        <w:jc w:val="both"/>
        <w:rPr>
          <w:b/>
          <w:u w:val="single"/>
        </w:rPr>
      </w:pPr>
      <w:r w:rsidRPr="00A8717D">
        <w:rPr>
          <w:b/>
          <w:u w:val="single"/>
        </w:rPr>
        <w:t>2. Komise přijme prováděcí akty, jimiž stanoví normy a techniky znehodnocování, aby bylo zajištěno, že všechny hlavní části palné zbraně jsou trvale nefunkční a není možné je odstranit, nahradit nebo upravit způsobem, který by jakkoli umožnil uschopnění palné zbraně ke střelbě. Tyto prováděcí akty se přijímají přezkumným postupem podle čl. 13b odst. 2.</w:t>
      </w:r>
    </w:p>
    <w:p w:rsidR="00A8717D" w:rsidRPr="00A8717D" w:rsidRDefault="00A8717D" w:rsidP="00F20A42">
      <w:pPr>
        <w:jc w:val="both"/>
        <w:rPr>
          <w:b/>
          <w:u w:val="single"/>
        </w:rPr>
      </w:pPr>
      <w:r w:rsidRPr="00A8717D">
        <w:rPr>
          <w:b/>
          <w:u w:val="single"/>
        </w:rPr>
        <w:t>3. Prováděcí akty uvedené v odstavci 2 se nevztahují na palné zbraně znehodnocené před datem použitelnosti uvedených prováděcích aktů, ledaže jsou tyto palné zbraně po tomto datu převáděny do jiného členského státu nebo uváděny na trh.</w:t>
      </w:r>
    </w:p>
    <w:p w:rsidR="00A8717D" w:rsidRPr="00A8717D" w:rsidRDefault="00A8717D" w:rsidP="00F20A42">
      <w:pPr>
        <w:jc w:val="both"/>
        <w:rPr>
          <w:b/>
          <w:u w:val="single"/>
        </w:rPr>
      </w:pPr>
      <w:r w:rsidRPr="00A8717D">
        <w:rPr>
          <w:b/>
          <w:u w:val="single"/>
        </w:rPr>
        <w:t>4. Členské státy mohou do dvou měsíců po… [den vstupu této pozměňující směrnice v platnost] oznámit Komisi své vnitrostátní normy a techniky znehodnocování platné přede dnem 8. dubna 2016 a zdůvodnit, proč je stupeň bezpečnosti zajištěný těmito normami a technikami znehodnocování rovnocenný stupni zajištěnému technickými specifikacemi znehodnocováním palných zbraní uvedenými v příloze I prováděcího</w:t>
      </w:r>
      <w:r>
        <w:rPr>
          <w:b/>
          <w:u w:val="single"/>
        </w:rPr>
        <w:t xml:space="preserve"> nařízení Komise (EU) 2015/2403</w:t>
      </w:r>
      <w:r w:rsidRPr="00A8717D">
        <w:rPr>
          <w:rStyle w:val="Znakapoznpodarou"/>
          <w:b/>
          <w:u w:val="single"/>
        </w:rPr>
        <w:footnoteReference w:id="7"/>
      </w:r>
      <w:r w:rsidRPr="00A8717D">
        <w:rPr>
          <w:b/>
          <w:u w:val="single"/>
          <w:vertAlign w:val="superscript"/>
        </w:rPr>
        <w:t>)</w:t>
      </w:r>
      <w:r w:rsidRPr="00A8717D">
        <w:rPr>
          <w:b/>
          <w:u w:val="single"/>
        </w:rPr>
        <w:t>, které se použije ode dne 8. dubna 2016.</w:t>
      </w:r>
    </w:p>
    <w:p w:rsidR="00A8717D" w:rsidRPr="00A8717D" w:rsidRDefault="00A8717D" w:rsidP="00F20A42">
      <w:pPr>
        <w:jc w:val="both"/>
        <w:rPr>
          <w:b/>
          <w:u w:val="single"/>
        </w:rPr>
      </w:pPr>
      <w:r w:rsidRPr="00A8717D">
        <w:rPr>
          <w:b/>
          <w:u w:val="single"/>
        </w:rPr>
        <w:t>5. Pokud členské státy učiní oznámení Komisi podle odstavce 4 tohoto článku, přijme Komise do 12 měsíců od daného oznámení prováděcí akty, v nichž rozhodne, zda oznámené vnitrostátní normy a techniky znehodnocování zajistily, že byly palné zbraně znehodnoceny v takovém stupni bezpečnosti, který je rovnocenný stupni zajištěnému technickými specifikacemi znehodnocování palných zbraní uvedenými v příloze I prováděcího nařízení Komise (EU) 2015/2403, které se použije ode dne 8. dubna 2016. Tyto prováděcí akty se přijímají přezkumným postupem podle čl. 13b odst. 2.</w:t>
      </w:r>
    </w:p>
    <w:p w:rsidR="00A8717D" w:rsidRPr="00A8717D" w:rsidRDefault="00A8717D" w:rsidP="00F20A42">
      <w:pPr>
        <w:jc w:val="both"/>
        <w:rPr>
          <w:b/>
          <w:u w:val="single"/>
        </w:rPr>
      </w:pPr>
      <w:r w:rsidRPr="00A8717D">
        <w:rPr>
          <w:b/>
          <w:u w:val="single"/>
        </w:rPr>
        <w:t>6. Až do data použitelnosti prováděcích aktů uvedených v odstavci 5 musí každá palná zbraň znehodnocená v souladu s vnitrostátními normami a technikami znehodnocování platnými přede dnem 8. dubna 2016 převáděná do jiného členského státu nebo uváděná na trh odpovídat technickým specifikacím znehodnocování palných zbraní uvedeným v příloze I prováděcího nařízení Komise (EU) 2015/2403.</w:t>
      </w:r>
    </w:p>
    <w:p w:rsidR="00A8717D" w:rsidRPr="00A8717D" w:rsidRDefault="00A8717D" w:rsidP="00F20A42">
      <w:pPr>
        <w:jc w:val="both"/>
        <w:rPr>
          <w:b/>
          <w:u w:val="single"/>
        </w:rPr>
      </w:pPr>
      <w:r w:rsidRPr="00A8717D">
        <w:rPr>
          <w:b/>
          <w:u w:val="single"/>
        </w:rPr>
        <w:t>7. Palné zbraně znehodnocené v souladu s vnitrostátními normami a technikami znehodnocování přede dnem 8. dubna 2016, které byly uznány za zajišťující rovnocenný stupeň bezpečnosti jako technické specifikace pro znehodnocování palných zbraní uvedené v příloze I prováděcího nařízení Komise (EU) 2015/2403, které se použije ode dne 8. dubna 2016, jsou považovány za znehodnocené palné zbraně i v případě, že jsou po dni použitelnosti prováděcích aktů uvedených v odstavci 5 převáděny do jiného členského státu nebo uváděny na trh.</w:t>
      </w:r>
    </w:p>
    <w:p w:rsidR="00A8717D" w:rsidRPr="00972824" w:rsidRDefault="00A8717D" w:rsidP="00972824"/>
    <w:p w:rsidR="00972824" w:rsidRPr="00972824" w:rsidRDefault="00972824" w:rsidP="00225BF7">
      <w:pPr>
        <w:jc w:val="center"/>
      </w:pPr>
      <w:r w:rsidRPr="00972824">
        <w:t>KAPITOLA 3</w:t>
      </w:r>
    </w:p>
    <w:p w:rsidR="00972824" w:rsidRPr="00972824" w:rsidRDefault="00972824" w:rsidP="00225BF7">
      <w:pPr>
        <w:jc w:val="center"/>
        <w:rPr>
          <w:b/>
          <w:bCs/>
        </w:rPr>
      </w:pPr>
      <w:r w:rsidRPr="00972824">
        <w:rPr>
          <w:b/>
          <w:bCs/>
        </w:rPr>
        <w:lastRenderedPageBreak/>
        <w:t xml:space="preserve">Formality požadované pro pohyb zbraní uvnitř </w:t>
      </w:r>
      <w:r w:rsidR="00A8717D" w:rsidRPr="00A8717D">
        <w:rPr>
          <w:b/>
          <w:bCs/>
          <w:u w:val="single"/>
        </w:rPr>
        <w:t>Unie</w:t>
      </w:r>
      <w:r w:rsidR="00A8717D">
        <w:rPr>
          <w:b/>
          <w:bCs/>
        </w:rPr>
        <w:t xml:space="preserve"> </w:t>
      </w:r>
      <w:r w:rsidRPr="00A8717D">
        <w:rPr>
          <w:b/>
          <w:bCs/>
          <w:strike/>
        </w:rPr>
        <w:t>Společenství</w:t>
      </w:r>
    </w:p>
    <w:p w:rsidR="002844E0" w:rsidRDefault="002844E0" w:rsidP="00225BF7">
      <w:pPr>
        <w:jc w:val="center"/>
        <w:rPr>
          <w:i/>
          <w:iCs/>
        </w:rPr>
      </w:pPr>
    </w:p>
    <w:p w:rsidR="00972824" w:rsidRPr="00225BF7" w:rsidRDefault="00972824" w:rsidP="00225BF7">
      <w:pPr>
        <w:jc w:val="center"/>
        <w:rPr>
          <w:b/>
          <w:i/>
          <w:iCs/>
        </w:rPr>
      </w:pPr>
      <w:r w:rsidRPr="00225BF7">
        <w:rPr>
          <w:b/>
          <w:i/>
          <w:iCs/>
        </w:rPr>
        <w:t>Článek 11</w:t>
      </w:r>
    </w:p>
    <w:p w:rsidR="00972824" w:rsidRPr="00972824" w:rsidRDefault="00972824" w:rsidP="00F20A42">
      <w:pPr>
        <w:jc w:val="both"/>
      </w:pPr>
      <w:r w:rsidRPr="00972824">
        <w:t>1.  </w:t>
      </w:r>
      <w:r w:rsidR="00A8717D" w:rsidRPr="00A8717D">
        <w:rPr>
          <w:b/>
          <w:u w:val="single"/>
        </w:rPr>
        <w:t>Aniž je dotčen článek 12, mohou být palné zbraně převáděny z jednoho členského státu do druhého pouze postupem stanoveným v tomto článku. Tento postup se rovněž vztahuje na převody palných zbraní při prodeji prostřednictvím smluv uzavřených na dálku ve smyslu čl. 2 bodu 7 směrnice 2011/83/EU.</w:t>
      </w:r>
      <w:r w:rsidR="00A8717D">
        <w:t xml:space="preserve"> </w:t>
      </w:r>
      <w:r w:rsidRPr="00A8717D">
        <w:rPr>
          <w:strike/>
        </w:rPr>
        <w:t>Aniž je dotčen článek 12, mohou být palné zbraně</w:t>
      </w:r>
      <w:r w:rsidRPr="00A8717D">
        <w:rPr>
          <w:b/>
          <w:bCs/>
          <w:strike/>
        </w:rPr>
        <w:t> </w:t>
      </w:r>
      <w:r w:rsidRPr="00A8717D">
        <w:rPr>
          <w:strike/>
        </w:rPr>
        <w:t>přepravovány z jednoho členského státu do druhého pouze postupem stanoveným v níže uvedených odstavcích. Tato ustanovení se rovněž vztahují na přepravu palné zbraně, při zásilkovém prodeji.</w:t>
      </w:r>
    </w:p>
    <w:p w:rsidR="00972824" w:rsidRPr="00972824" w:rsidRDefault="00972824" w:rsidP="00F20A42">
      <w:pPr>
        <w:jc w:val="both"/>
      </w:pPr>
      <w:r w:rsidRPr="00972824">
        <w:t>2.  Pokud jde o přepravu palných zbraní</w:t>
      </w:r>
      <w:r w:rsidRPr="00972824">
        <w:rPr>
          <w:b/>
          <w:bCs/>
        </w:rPr>
        <w:t> </w:t>
      </w:r>
      <w:r w:rsidRPr="00972824">
        <w:t>do jiného členského státu, sdělí zúčastněná osoba před zahájením přepravy členskému státu, ve kterém se tyto zbraně nachází:</w:t>
      </w:r>
    </w:p>
    <w:p w:rsidR="00972824" w:rsidRPr="00972824" w:rsidRDefault="00972824" w:rsidP="00F20A42">
      <w:pPr>
        <w:jc w:val="both"/>
      </w:pPr>
      <w:r w:rsidRPr="00972824">
        <w:t>— jméno a adresu prodávajícího nebo převodce a jméno a adresu kupujícího nebo nabyvatele a popřípadě vlastníka,</w:t>
      </w:r>
    </w:p>
    <w:p w:rsidR="00972824" w:rsidRPr="00972824" w:rsidRDefault="00972824" w:rsidP="00F20A42">
      <w:pPr>
        <w:jc w:val="both"/>
      </w:pPr>
      <w:r w:rsidRPr="00972824">
        <w:t>— adresu místa, na které budou tyto zbraně zaslány nebo dopraveny,</w:t>
      </w:r>
    </w:p>
    <w:p w:rsidR="00972824" w:rsidRPr="00972824" w:rsidRDefault="00972824" w:rsidP="00F20A42">
      <w:pPr>
        <w:jc w:val="both"/>
      </w:pPr>
      <w:r w:rsidRPr="00972824">
        <w:t>— počet zbraní, které jsou zasílány nebo dopravovány,</w:t>
      </w:r>
    </w:p>
    <w:p w:rsidR="00972824" w:rsidRPr="00972824" w:rsidRDefault="00972824" w:rsidP="00F20A42">
      <w:pPr>
        <w:jc w:val="both"/>
      </w:pPr>
      <w:r w:rsidRPr="00972824">
        <w:t>— údaje umožňující identifikaci každé zbraně a rovněž oznámení, že palná zbraň</w:t>
      </w:r>
      <w:r w:rsidRPr="00972824">
        <w:rPr>
          <w:b/>
          <w:bCs/>
        </w:rPr>
        <w:t> </w:t>
      </w:r>
      <w:r w:rsidRPr="00972824">
        <w:t>byla předmětem kontroly v souladu s Úmluvou o vzájemném uznávání zkušebních značek na přenosných palných zbraních</w:t>
      </w:r>
      <w:r w:rsidRPr="00972824">
        <w:rPr>
          <w:b/>
          <w:bCs/>
        </w:rPr>
        <w:t> </w:t>
      </w:r>
      <w:r w:rsidRPr="00972824">
        <w:t>ze dne 1. července 1969,</w:t>
      </w:r>
    </w:p>
    <w:p w:rsidR="00972824" w:rsidRPr="00972824" w:rsidRDefault="00972824" w:rsidP="00F20A42">
      <w:pPr>
        <w:jc w:val="both"/>
      </w:pPr>
      <w:r w:rsidRPr="00972824">
        <w:t>— přepravní prostředky,</w:t>
      </w:r>
    </w:p>
    <w:p w:rsidR="00972824" w:rsidRPr="00972824" w:rsidRDefault="00972824" w:rsidP="00F20A42">
      <w:pPr>
        <w:jc w:val="both"/>
      </w:pPr>
      <w:r w:rsidRPr="00972824">
        <w:t>— den odeslání a předpokládaný den převzetí.</w:t>
      </w:r>
    </w:p>
    <w:p w:rsidR="00972824" w:rsidRPr="00972824" w:rsidRDefault="00972824" w:rsidP="00F20A42">
      <w:pPr>
        <w:jc w:val="both"/>
      </w:pPr>
      <w:r w:rsidRPr="00972824">
        <w:t>Údaje uvedené v posledních dvou odrážkách se nemusí sdělovat v případě přepravy mezi podnikateli v oboru zbraní.</w:t>
      </w:r>
    </w:p>
    <w:p w:rsidR="00972824" w:rsidRPr="00972824" w:rsidRDefault="00972824" w:rsidP="00F20A42">
      <w:pPr>
        <w:jc w:val="both"/>
      </w:pPr>
      <w:r w:rsidRPr="00972824">
        <w:t>Členský stát přezkoumá podmínky, za nichž dojde k přepravě, zejména s ohledem na bezpečnost.</w:t>
      </w:r>
    </w:p>
    <w:p w:rsidR="00972824" w:rsidRPr="00972824" w:rsidRDefault="00972824" w:rsidP="00F20A42">
      <w:pPr>
        <w:jc w:val="both"/>
      </w:pPr>
      <w:r w:rsidRPr="00972824">
        <w:t>Jestliže členský stát tuto přepravu povolí, vydá průkaz, který bude obsahovat všechny údaje uvedené v prvním pododstavci. Tento průkaz musí doprovázet palné zbraně</w:t>
      </w:r>
      <w:r w:rsidRPr="00972824">
        <w:rPr>
          <w:b/>
          <w:bCs/>
        </w:rPr>
        <w:t> </w:t>
      </w:r>
      <w:r w:rsidRPr="00972824">
        <w:t>až do místa jejich určení; musí být předložen, kdykoli o to orgány členských států požádají.</w:t>
      </w:r>
    </w:p>
    <w:p w:rsidR="00972824" w:rsidRPr="00972824" w:rsidRDefault="00972824" w:rsidP="00F20A42">
      <w:pPr>
        <w:jc w:val="both"/>
      </w:pPr>
      <w:r w:rsidRPr="00972824">
        <w:t>3.  Pro přepravu palných zbraní</w:t>
      </w:r>
      <w:r w:rsidRPr="00972824">
        <w:rPr>
          <w:b/>
          <w:bCs/>
        </w:rPr>
        <w:t> </w:t>
      </w:r>
      <w:r w:rsidRPr="00972824">
        <w:t>jiných než vojenských, které jsou vyňaty z oblasti působnosti této směrnice na základě čl. 2 odst. 2, může každý členský stát udělit podnikatelům v oboru zbraní právo přepravovat palné zbraně</w:t>
      </w:r>
      <w:r w:rsidRPr="00972824">
        <w:rPr>
          <w:b/>
          <w:bCs/>
        </w:rPr>
        <w:t> </w:t>
      </w:r>
      <w:r w:rsidRPr="00972824">
        <w:t>ze svého území k podnikateli v oboru zbraní, který působí v jiném členském státu, bez předchozího povolení podle odstavce 2. Členský stát vydá k tomuto účelu souhlas platný po dobu nejvýše tří let, který může být kdykoli odůvodněným rozhodnutím pozastaven nebo zrušen. Doklad s odkazem na tento souhlas musí doprovázet palné zbraně</w:t>
      </w:r>
      <w:r w:rsidRPr="00972824">
        <w:rPr>
          <w:b/>
          <w:bCs/>
        </w:rPr>
        <w:t> </w:t>
      </w:r>
      <w:r w:rsidRPr="00972824">
        <w:t>až do místa jejich určení; musí být předložen, kdykoli o to orgány členských států požádají.</w:t>
      </w:r>
    </w:p>
    <w:p w:rsidR="00972824" w:rsidRPr="00972824" w:rsidRDefault="00972824" w:rsidP="00F20A42">
      <w:pPr>
        <w:jc w:val="both"/>
      </w:pPr>
      <w:r w:rsidRPr="00972824">
        <w:t>Přede dnem převodu sdělí podnikatel v oboru zbraní orgánům členského státu, ze kterého se má palná zbraň</w:t>
      </w:r>
      <w:r w:rsidRPr="00972824">
        <w:rPr>
          <w:b/>
          <w:bCs/>
        </w:rPr>
        <w:t> </w:t>
      </w:r>
      <w:r w:rsidRPr="00972824">
        <w:t xml:space="preserve">převést, všechny údaje uvedené v odst. 2 prvním pododstavci. Tyto orgány provedou </w:t>
      </w:r>
      <w:r w:rsidRPr="00972824">
        <w:lastRenderedPageBreak/>
        <w:t>kontroly, v případě potřeby na místě, za účelem ověření souladu mezi informacemi sdělovanými podnikatelem v oboru zbraní a skutečnou povahou převodu. Podnikatel v oboru zbraní sdělí tyto informace ve lhůtě poskytující dostatek času.</w:t>
      </w:r>
    </w:p>
    <w:p w:rsidR="00972824" w:rsidRPr="00972824" w:rsidRDefault="00972824" w:rsidP="00F20A42">
      <w:pPr>
        <w:jc w:val="both"/>
      </w:pPr>
      <w:r w:rsidRPr="00972824">
        <w:t>4.  Každý členský stát předá ostatním členským státům seznam palných zbraní, pro které může být vydán souhlas k přepravě na jeho území bez předchozího povolení.</w:t>
      </w:r>
    </w:p>
    <w:p w:rsidR="00972824" w:rsidRPr="00972824" w:rsidRDefault="00972824" w:rsidP="00F20A42">
      <w:pPr>
        <w:jc w:val="both"/>
      </w:pPr>
      <w:r w:rsidRPr="00972824">
        <w:t>Tyto seznamy palných zbraní</w:t>
      </w:r>
      <w:r w:rsidRPr="00972824">
        <w:rPr>
          <w:b/>
          <w:bCs/>
        </w:rPr>
        <w:t> </w:t>
      </w:r>
      <w:r w:rsidRPr="00972824">
        <w:t>budou sděleny podnikatelům v oboru zbraní, kteří obdrželi souhlas pro přepravu palných zbraní</w:t>
      </w:r>
      <w:r w:rsidRPr="00972824">
        <w:rPr>
          <w:b/>
          <w:bCs/>
        </w:rPr>
        <w:t> </w:t>
      </w:r>
      <w:r w:rsidRPr="00972824">
        <w:t>bez předchozího povolení postupem podle odstavce 3.</w:t>
      </w:r>
    </w:p>
    <w:p w:rsidR="002844E0" w:rsidRDefault="002844E0" w:rsidP="00972824">
      <w:pPr>
        <w:rPr>
          <w:i/>
          <w:iCs/>
        </w:rPr>
      </w:pPr>
    </w:p>
    <w:p w:rsidR="00972824" w:rsidRPr="00225BF7" w:rsidRDefault="00972824" w:rsidP="00225BF7">
      <w:pPr>
        <w:jc w:val="center"/>
        <w:rPr>
          <w:b/>
          <w:i/>
          <w:iCs/>
        </w:rPr>
      </w:pPr>
      <w:r w:rsidRPr="00225BF7">
        <w:rPr>
          <w:b/>
          <w:i/>
          <w:iCs/>
        </w:rPr>
        <w:t>Článek 12</w:t>
      </w:r>
    </w:p>
    <w:p w:rsidR="00972824" w:rsidRPr="00972824" w:rsidRDefault="00972824" w:rsidP="00F20A42">
      <w:pPr>
        <w:jc w:val="both"/>
      </w:pPr>
      <w:r w:rsidRPr="00972824">
        <w:t>1.  Nedodrží-li se postup podle článku 11, povoluje se držení palné zbraně</w:t>
      </w:r>
      <w:r w:rsidRPr="00972824">
        <w:rPr>
          <w:b/>
          <w:bCs/>
        </w:rPr>
        <w:t> </w:t>
      </w:r>
      <w:r w:rsidRPr="00972824">
        <w:t>během cesty přes dva nebo více členských států pouze, pokud zúčastněná osoba získá povolení těchto členských států.</w:t>
      </w:r>
    </w:p>
    <w:p w:rsidR="00972824" w:rsidRPr="00972824" w:rsidRDefault="00972824" w:rsidP="00F20A42">
      <w:pPr>
        <w:jc w:val="both"/>
      </w:pPr>
      <w:r w:rsidRPr="00972824">
        <w:t>Členské státy smějí udělit takové povolení pro jednu nebo více cest na dobu nejvýše jednoho roku s možností obnovení. Tato povolení budou zapsána do Evropského zbrojního pasu, který cestující musí předložit, kdykoli o to orgány členských států požádají.</w:t>
      </w:r>
    </w:p>
    <w:p w:rsidR="00A8717D" w:rsidRPr="00A8717D" w:rsidRDefault="00972824" w:rsidP="00F20A42">
      <w:pPr>
        <w:jc w:val="both"/>
        <w:rPr>
          <w:b/>
          <w:u w:val="single"/>
        </w:rPr>
      </w:pPr>
      <w:r w:rsidRPr="00972824">
        <w:t>2.   </w:t>
      </w:r>
      <w:r w:rsidRPr="00A8717D">
        <w:rPr>
          <w:strike/>
        </w:rPr>
        <w:t>Odchylně od odstavce l mohou lovci v případě palných zbraní</w:t>
      </w:r>
      <w:r w:rsidR="002844E0" w:rsidRPr="00A8717D">
        <w:rPr>
          <w:strike/>
        </w:rPr>
        <w:t xml:space="preserve"> </w:t>
      </w:r>
      <w:r w:rsidRPr="00A8717D">
        <w:rPr>
          <w:strike/>
        </w:rPr>
        <w:t>kategorií C a D a sportovní střelci v případě palných zbraní</w:t>
      </w:r>
      <w:r w:rsidRPr="00A8717D">
        <w:rPr>
          <w:b/>
          <w:bCs/>
          <w:strike/>
        </w:rPr>
        <w:t> </w:t>
      </w:r>
      <w:r w:rsidRPr="00A8717D">
        <w:rPr>
          <w:strike/>
        </w:rPr>
        <w:t>kategorií B, C a D držet bez předchozího povolení jednu nebo více těchto palných zbraní</w:t>
      </w:r>
      <w:r w:rsidRPr="00A8717D">
        <w:rPr>
          <w:b/>
          <w:bCs/>
          <w:strike/>
        </w:rPr>
        <w:t> </w:t>
      </w:r>
      <w:r w:rsidRPr="00A8717D">
        <w:rPr>
          <w:strike/>
        </w:rPr>
        <w:t>během cesty přes dva nebo více členských států s cílem vykonávat svou činnost, pokud jsou držiteli evropského zbrojního pasu, ve kterém je uvedena tato konkrétní zbraň či zbraně, a pokud mohou uvést důvody své cesty, zejména předložením pozvání nebo jiného důkazu jejich lovecké nebo sportovní činnosti v cílovém členském státě.</w:t>
      </w:r>
      <w:r w:rsidR="00A8717D">
        <w:t xml:space="preserve"> </w:t>
      </w:r>
      <w:r w:rsidR="00A8717D" w:rsidRPr="00A8717D">
        <w:rPr>
          <w:b/>
          <w:u w:val="single"/>
        </w:rPr>
        <w:t>Bez ohledu na odstavec l mohou lovci a inscenátoři rekonstrukcí historických událostí v případě palných zbraní zařazených do kategorie C a sportovní střelci v případě palných zbraní zařazených do kategorií B nebo C a palných zbraní zařazených do kategorie A, pro které bylo uděleno povolení podle čl. 6 odst. 6 nebo pro které bylo povolení potvrzeno, obnoveno či prodlouženo podle čl. 7 odst. 4a, držet bez předchozího povolení uvedeného v čl. 11 odst. 2 jednu nebo více palných zbraní během cesty přes dva nebo více členských států s cílem vykonávat svou činnost, pokud:</w:t>
      </w:r>
    </w:p>
    <w:p w:rsidR="00A8717D" w:rsidRPr="00A8717D" w:rsidRDefault="00A8717D" w:rsidP="00F20A42">
      <w:pPr>
        <w:ind w:left="708"/>
        <w:jc w:val="both"/>
        <w:rPr>
          <w:b/>
          <w:u w:val="single"/>
        </w:rPr>
      </w:pPr>
      <w:r w:rsidRPr="00A8717D">
        <w:rPr>
          <w:b/>
          <w:u w:val="single"/>
        </w:rPr>
        <w:t>a) jsou držiteli evropského zbrojního pasu, ve kterém je uvedena konkrétní palná zbraň či zbraně; a</w:t>
      </w:r>
    </w:p>
    <w:p w:rsidR="00972824" w:rsidRPr="00972824" w:rsidRDefault="00A8717D" w:rsidP="00F20A42">
      <w:pPr>
        <w:ind w:left="708"/>
        <w:jc w:val="both"/>
      </w:pPr>
      <w:r w:rsidRPr="00A8717D">
        <w:rPr>
          <w:b/>
          <w:u w:val="single"/>
        </w:rPr>
        <w:t>b) mohou uvést důvody své cesty, zejména předložením pozvání nebo jiného důkazu jejich lovecké nebo sportovně střelecké činnosti nebo činnosti při rekonstrukci historické události v cílovém členském státě.</w:t>
      </w:r>
    </w:p>
    <w:p w:rsidR="00972824" w:rsidRPr="00972824" w:rsidRDefault="00972824" w:rsidP="00F20A42">
      <w:pPr>
        <w:jc w:val="both"/>
      </w:pPr>
      <w:r w:rsidRPr="00972824">
        <w:t>Členské státy nesmějí uznávání evropského zbrojního pasu podmiňovat uhrazením jakéhokoli poplatku nebo platby.</w:t>
      </w:r>
    </w:p>
    <w:p w:rsidR="00972824" w:rsidRPr="00972824" w:rsidRDefault="00A8717D" w:rsidP="00F20A42">
      <w:pPr>
        <w:jc w:val="both"/>
      </w:pPr>
      <w:r w:rsidRPr="00A8717D">
        <w:rPr>
          <w:b/>
          <w:u w:val="single"/>
        </w:rPr>
        <w:t xml:space="preserve">Tato výjimka se však nevztahuje na cesty do členského státu, který na základě čl. 8 odst. 3 zakazuje nabývání a držení dané palné zbraně nebo je podmiňuje udělením povolení. V takovém případě je poznámka o tom výslovně zaznamenána do evropského zbrojního pasu. Členské státy mohou rovněž zamítnout použití této výjimky v případě palných zbraní zařazených do kategorie A, pro které bylo uděleno povolení podle čl. 6 odst. 6 nebo pro které bylo povolení potvrzeno, obnoveno </w:t>
      </w:r>
      <w:r w:rsidRPr="00A8717D">
        <w:rPr>
          <w:b/>
          <w:u w:val="single"/>
        </w:rPr>
        <w:lastRenderedPageBreak/>
        <w:t>nebo prodlouženo podle čl. 7 odst. 4a.</w:t>
      </w:r>
      <w:r>
        <w:t xml:space="preserve"> </w:t>
      </w:r>
      <w:r w:rsidR="00972824" w:rsidRPr="00A8717D">
        <w:rPr>
          <w:strike/>
        </w:rPr>
        <w:t>Tato výjimka se však nevztahuje na cesty do členského státu, který na základě čl. 8 odst. 3 zakázal nabývání a držení dotyčné zbraně nebo který je podmiňuje udělením povolení; v tomto případě o tom musí být učiněna výslovná zmínka v Evropském zbrojním pasu.</w:t>
      </w:r>
    </w:p>
    <w:p w:rsidR="00972824" w:rsidRPr="00972824" w:rsidRDefault="00972824" w:rsidP="00F20A42">
      <w:pPr>
        <w:jc w:val="both"/>
      </w:pPr>
      <w:r w:rsidRPr="00972824">
        <w:t>V souvislosti se zprávou uvedenou v článku 17 Komise rovněž přezkoumá po konzultaci členských států výsledky uplatňování druhého pododstavce, zejména pokud jde o jeho dopady na veřejný pořádek a veřejnou bezpečnost.</w:t>
      </w:r>
    </w:p>
    <w:p w:rsidR="00972824" w:rsidRPr="00972824" w:rsidRDefault="00972824" w:rsidP="00F20A42">
      <w:pPr>
        <w:jc w:val="both"/>
      </w:pPr>
      <w:r w:rsidRPr="00972824">
        <w:t>3.  V dohodách o vzájemném uznávání vnitrostátních dokladů mohou dva nebo více členských států stanovit pro pohyb se palnou zbraní</w:t>
      </w:r>
      <w:r w:rsidRPr="00972824">
        <w:rPr>
          <w:b/>
          <w:bCs/>
        </w:rPr>
        <w:t> </w:t>
      </w:r>
      <w:r w:rsidRPr="00972824">
        <w:t>na svém území pružnější úpravu, než která je uvedena v tomto článku.</w:t>
      </w:r>
    </w:p>
    <w:p w:rsidR="002844E0" w:rsidRDefault="002844E0" w:rsidP="00972824">
      <w:pPr>
        <w:rPr>
          <w:i/>
          <w:iCs/>
        </w:rPr>
      </w:pPr>
    </w:p>
    <w:p w:rsidR="00972824" w:rsidRPr="00225BF7" w:rsidRDefault="00972824" w:rsidP="00225BF7">
      <w:pPr>
        <w:jc w:val="center"/>
        <w:rPr>
          <w:b/>
          <w:i/>
          <w:iCs/>
        </w:rPr>
      </w:pPr>
      <w:r w:rsidRPr="00225BF7">
        <w:rPr>
          <w:b/>
          <w:i/>
          <w:iCs/>
        </w:rPr>
        <w:t>Článek 13</w:t>
      </w:r>
    </w:p>
    <w:p w:rsidR="00972824" w:rsidRPr="00972824" w:rsidRDefault="00972824" w:rsidP="00F20A42">
      <w:pPr>
        <w:jc w:val="both"/>
      </w:pPr>
      <w:r w:rsidRPr="00972824">
        <w:t>1.  Každý členský stát předá všechny užitečné informace, které má k dispozici o konečné přepravě palných zbraní, členskému státu, na jehož území budou přepraveny.</w:t>
      </w:r>
    </w:p>
    <w:p w:rsidR="00972824" w:rsidRPr="00972824" w:rsidRDefault="00972824" w:rsidP="00F20A42">
      <w:pPr>
        <w:jc w:val="both"/>
      </w:pPr>
      <w:r w:rsidRPr="00972824">
        <w:t>2.  Informace, jež členské státy obdrží na základě postupů podle článku 11 o přepravě palných zbraní, podle čl. 7 odst. 2 a podle čl. 8 odst. 2 o nabývání a držení palných zbraní</w:t>
      </w:r>
      <w:r w:rsidR="002844E0">
        <w:rPr>
          <w:b/>
          <w:bCs/>
        </w:rPr>
        <w:t xml:space="preserve"> </w:t>
      </w:r>
      <w:r w:rsidRPr="00972824">
        <w:t>osobami bez bydliště v daném státě, sdělí nejpozději během přepravy členskému státu určení a popřípadě nejpozději během přepravy členským státům tranzitu.</w:t>
      </w:r>
    </w:p>
    <w:p w:rsidR="00972824" w:rsidRDefault="00972824" w:rsidP="00F20A42">
      <w:pPr>
        <w:jc w:val="both"/>
      </w:pPr>
      <w:r w:rsidRPr="00972824">
        <w:t>3.  Pro účely účinného uplatňování této směrnice si členské státy pravidelně vyměňují informace. Z tohoto důvodu sestaví Komise do 28. července 2009 kontaktní skupinu pro výměnu informací pro účely uplatňování tohoto článku. Členské státy uvědomí ostatní členské státy a Komisi, které vnitrostátní orgány jsou pověřeny předávat a získávat informace a plnit povinnosti uvedené v čl. 11 odst. 4.</w:t>
      </w:r>
    </w:p>
    <w:p w:rsidR="00A8717D" w:rsidRPr="00A8717D" w:rsidRDefault="00A8717D" w:rsidP="00F20A42">
      <w:pPr>
        <w:jc w:val="both"/>
        <w:rPr>
          <w:b/>
          <w:u w:val="single"/>
        </w:rPr>
      </w:pPr>
      <w:r w:rsidRPr="00A8717D">
        <w:rPr>
          <w:b/>
          <w:u w:val="single"/>
        </w:rPr>
        <w:t>4. Příslušné orgány členských států si elektronickými prostředky vyměňují informace o udělených povoleních pro převod palných zbraní do jiného členského státu a informace týkající se zamítnutí udělit povolení podle článků 6 nebo 7 z důvodů bezpečnosti nebo z důvodů týkajících se spolehlivosti dotyčné osoby.</w:t>
      </w:r>
    </w:p>
    <w:p w:rsidR="00A8717D" w:rsidRPr="00A8717D" w:rsidRDefault="00A8717D" w:rsidP="00F20A42">
      <w:pPr>
        <w:jc w:val="both"/>
        <w:rPr>
          <w:b/>
          <w:u w:val="single"/>
        </w:rPr>
      </w:pPr>
      <w:r w:rsidRPr="00A8717D">
        <w:rPr>
          <w:b/>
          <w:u w:val="single"/>
        </w:rPr>
        <w:t>5.  Komise zajistí systém výměny informací uvedených v tomto článku.</w:t>
      </w:r>
    </w:p>
    <w:p w:rsidR="00A8717D" w:rsidRPr="00972824" w:rsidRDefault="00A8717D" w:rsidP="00F20A42">
      <w:pPr>
        <w:jc w:val="both"/>
      </w:pPr>
      <w:r w:rsidRPr="00A8717D">
        <w:rPr>
          <w:b/>
          <w:u w:val="single"/>
        </w:rPr>
        <w:t>Komise přijme akty v přenesené pravomoci v souladu s článkem 13a, které doplní tuto směrnici stanovením podrobných opatření pro systematickou výměnu informací elektronickými prostředky . Komise přijme první takový akt v přenesené pravomoci do ... [15 měsíců po vstupu této pozměňující směrnice v platnost].</w:t>
      </w:r>
    </w:p>
    <w:p w:rsidR="002844E0" w:rsidRDefault="002844E0" w:rsidP="00972824">
      <w:pPr>
        <w:rPr>
          <w:i/>
          <w:iCs/>
        </w:rPr>
      </w:pPr>
    </w:p>
    <w:p w:rsidR="00972824" w:rsidRPr="00225BF7" w:rsidRDefault="00972824" w:rsidP="00225BF7">
      <w:pPr>
        <w:jc w:val="center"/>
        <w:rPr>
          <w:b/>
          <w:i/>
          <w:iCs/>
        </w:rPr>
      </w:pPr>
      <w:r w:rsidRPr="00225BF7">
        <w:rPr>
          <w:b/>
          <w:i/>
          <w:iCs/>
        </w:rPr>
        <w:t>Článek 13a</w:t>
      </w:r>
    </w:p>
    <w:p w:rsidR="00A8717D" w:rsidRPr="00A8717D" w:rsidRDefault="00A8717D" w:rsidP="00F20A42">
      <w:pPr>
        <w:jc w:val="both"/>
        <w:rPr>
          <w:b/>
          <w:u w:val="single"/>
        </w:rPr>
      </w:pPr>
      <w:r w:rsidRPr="00A8717D">
        <w:rPr>
          <w:b/>
          <w:u w:val="single"/>
        </w:rPr>
        <w:t>1.  Pravomoc přijímat akty v přenesené pravomoci je svěřena Komisi za podmínek stanovených v tomto článku.</w:t>
      </w:r>
    </w:p>
    <w:p w:rsidR="00A8717D" w:rsidRPr="00A8717D" w:rsidRDefault="00A8717D" w:rsidP="00F20A42">
      <w:pPr>
        <w:jc w:val="both"/>
        <w:rPr>
          <w:b/>
          <w:u w:val="single"/>
        </w:rPr>
      </w:pPr>
      <w:r w:rsidRPr="00A8717D">
        <w:rPr>
          <w:b/>
          <w:u w:val="single"/>
        </w:rPr>
        <w:lastRenderedPageBreak/>
        <w:t>2.  Pravomoc p</w:t>
      </w:r>
      <w:r w:rsidRPr="00A8717D">
        <w:rPr>
          <w:rFonts w:ascii="Calibri" w:hAnsi="Calibri" w:cs="Calibri"/>
          <w:b/>
          <w:u w:val="single"/>
        </w:rPr>
        <w:t>ř</w:t>
      </w:r>
      <w:r w:rsidRPr="00A8717D">
        <w:rPr>
          <w:b/>
          <w:u w:val="single"/>
        </w:rPr>
        <w:t>ij</w:t>
      </w:r>
      <w:r w:rsidRPr="00A8717D">
        <w:rPr>
          <w:rFonts w:ascii="Calibri" w:hAnsi="Calibri" w:cs="Calibri"/>
          <w:b/>
          <w:u w:val="single"/>
        </w:rPr>
        <w:t>í</w:t>
      </w:r>
      <w:r w:rsidRPr="00A8717D">
        <w:rPr>
          <w:b/>
          <w:u w:val="single"/>
        </w:rPr>
        <w:t>mat akty v p</w:t>
      </w:r>
      <w:r w:rsidRPr="00A8717D">
        <w:rPr>
          <w:rFonts w:ascii="Calibri" w:hAnsi="Calibri" w:cs="Calibri"/>
          <w:b/>
          <w:u w:val="single"/>
        </w:rPr>
        <w:t>ř</w:t>
      </w:r>
      <w:r w:rsidRPr="00A8717D">
        <w:rPr>
          <w:b/>
          <w:u w:val="single"/>
        </w:rPr>
        <w:t>enesen</w:t>
      </w:r>
      <w:r w:rsidRPr="00A8717D">
        <w:rPr>
          <w:rFonts w:ascii="Calibri" w:hAnsi="Calibri" w:cs="Calibri"/>
          <w:b/>
          <w:u w:val="single"/>
        </w:rPr>
        <w:t>é</w:t>
      </w:r>
      <w:r w:rsidRPr="00A8717D">
        <w:rPr>
          <w:b/>
          <w:u w:val="single"/>
        </w:rPr>
        <w:t xml:space="preserve"> pravomoci uveden</w:t>
      </w:r>
      <w:r w:rsidRPr="00A8717D">
        <w:rPr>
          <w:rFonts w:ascii="Calibri" w:hAnsi="Calibri" w:cs="Calibri"/>
          <w:b/>
          <w:u w:val="single"/>
        </w:rPr>
        <w:t>á</w:t>
      </w:r>
      <w:r w:rsidRPr="00A8717D">
        <w:rPr>
          <w:b/>
          <w:u w:val="single"/>
        </w:rPr>
        <w:t xml:space="preserve"> v </w:t>
      </w:r>
      <w:r w:rsidRPr="00A8717D">
        <w:rPr>
          <w:rFonts w:ascii="Calibri" w:hAnsi="Calibri" w:cs="Calibri"/>
          <w:b/>
          <w:u w:val="single"/>
        </w:rPr>
        <w:t>č</w:t>
      </w:r>
      <w:r w:rsidRPr="00A8717D">
        <w:rPr>
          <w:b/>
          <w:u w:val="single"/>
        </w:rPr>
        <w:t>l. 13 odst. 5 je sv</w:t>
      </w:r>
      <w:r w:rsidRPr="00A8717D">
        <w:rPr>
          <w:rFonts w:ascii="Calibri" w:hAnsi="Calibri" w:cs="Calibri"/>
          <w:b/>
          <w:u w:val="single"/>
        </w:rPr>
        <w:t>ěř</w:t>
      </w:r>
      <w:r w:rsidRPr="00A8717D">
        <w:rPr>
          <w:b/>
          <w:u w:val="single"/>
        </w:rPr>
        <w:t>ena Komisi na dobu neurčitou od ... [datum vstupu této pozměňující směrnice v platnost].</w:t>
      </w:r>
    </w:p>
    <w:p w:rsidR="00A8717D" w:rsidRPr="00A8717D" w:rsidRDefault="00A8717D" w:rsidP="00F20A42">
      <w:pPr>
        <w:jc w:val="both"/>
        <w:rPr>
          <w:b/>
          <w:u w:val="single"/>
        </w:rPr>
      </w:pPr>
      <w:r w:rsidRPr="00A8717D">
        <w:rPr>
          <w:b/>
          <w:u w:val="single"/>
        </w:rPr>
        <w:t>3.  Evropský parlament nebo Rada mohou přenesení pravomoci uvedené v čl. 13 odst. 5 kdykoli zrušit. Rozhodnutím o zrušení se ukončuje přenesení pravomoci, které je v něm uvedeno. Rozhodnutí nabývá účinku prvním dnem po zveřejnění v Úředním věstníku Evropské unie nebo k pozdějšímu dni, který je v něm upřesněn. Nedotýká se platnosti již platných aktů v přenesené pravomoci.</w:t>
      </w:r>
    </w:p>
    <w:p w:rsidR="00A8717D" w:rsidRPr="00A8717D" w:rsidRDefault="00A8717D" w:rsidP="00F20A42">
      <w:pPr>
        <w:jc w:val="both"/>
        <w:rPr>
          <w:b/>
          <w:u w:val="single"/>
        </w:rPr>
      </w:pPr>
      <w:r w:rsidRPr="00A8717D">
        <w:rPr>
          <w:b/>
          <w:u w:val="single"/>
        </w:rPr>
        <w:t>4. Před přijetím aktu v přenesené pravomoci Komise vede konzultace s odborníky jmenovanými jednotlivými členskými státy v souladu se zásadami stanovenými v interinstitucionální dohodě ze dne 13. dubna 2016 o zdokonalení tvorby právních předpisů.</w:t>
      </w:r>
    </w:p>
    <w:p w:rsidR="00A8717D" w:rsidRPr="00A8717D" w:rsidRDefault="00A8717D" w:rsidP="00F20A42">
      <w:pPr>
        <w:jc w:val="both"/>
        <w:rPr>
          <w:b/>
          <w:u w:val="single"/>
        </w:rPr>
      </w:pPr>
      <w:r w:rsidRPr="00A8717D">
        <w:rPr>
          <w:b/>
          <w:u w:val="single"/>
        </w:rPr>
        <w:t>5.  Přijetí aktu v přenesené pravomoci Komise neprodleně oznámí současně Evropskému parlamentu a Radě.</w:t>
      </w:r>
    </w:p>
    <w:p w:rsidR="00A8717D" w:rsidRDefault="00A8717D" w:rsidP="00F20A42">
      <w:pPr>
        <w:jc w:val="both"/>
      </w:pPr>
      <w:r w:rsidRPr="00A8717D">
        <w:rPr>
          <w:b/>
          <w:u w:val="single"/>
        </w:rPr>
        <w:t>6.  Akt v přenesené pravomoci přijatý podle čl. 13 odst. 5 vstoupí v platnost, pouze pokud proti němu Evropský parlament nebo Rada nevysloví námitky ve lhůtě dvou měsíců ode dne, kdy jim byl tento akt oznámen, nebo pokud Evropský parlament i Rada před uplynutím této lhůty informují Komisi o tom, že námitky nevysloví. Z podnětu Evropského parlamentu nebo Rady se tato lhůta prodlouží o dva měsíce.</w:t>
      </w:r>
    </w:p>
    <w:p w:rsidR="00972824" w:rsidRPr="00A8717D" w:rsidRDefault="00972824" w:rsidP="00F20A42">
      <w:pPr>
        <w:jc w:val="both"/>
        <w:rPr>
          <w:strike/>
        </w:rPr>
      </w:pPr>
      <w:r w:rsidRPr="00A8717D">
        <w:rPr>
          <w:strike/>
        </w:rPr>
        <w:t>1.  Komisi je nápomocen výbor.</w:t>
      </w:r>
    </w:p>
    <w:p w:rsidR="00972824" w:rsidRPr="00A8717D" w:rsidRDefault="00972824" w:rsidP="00F20A42">
      <w:pPr>
        <w:jc w:val="both"/>
        <w:rPr>
          <w:strike/>
        </w:rPr>
      </w:pPr>
      <w:r w:rsidRPr="00A8717D">
        <w:rPr>
          <w:strike/>
        </w:rPr>
        <w:t>2.  Odkazuje-li se na tento odstavec, použijí se články 5 a 7 rozhodnutí Rady 1999/468/ES ze dne 28. června 1999 o postupech pro výkon prováděcích pravomocí svěřených Komisi</w:t>
      </w:r>
      <w:r w:rsidR="00225BF7" w:rsidRPr="00A8717D">
        <w:rPr>
          <w:rStyle w:val="Znakapoznpodarou"/>
          <w:strike/>
        </w:rPr>
        <w:footnoteReference w:id="8"/>
      </w:r>
      <w:r w:rsidR="00225BF7" w:rsidRPr="00A8717D">
        <w:rPr>
          <w:strike/>
          <w:vertAlign w:val="superscript"/>
        </w:rPr>
        <w:t>)</w:t>
      </w:r>
      <w:r w:rsidRPr="00A8717D">
        <w:rPr>
          <w:strike/>
          <w:vertAlign w:val="superscript"/>
        </w:rPr>
        <w:t> </w:t>
      </w:r>
      <w:r w:rsidRPr="00A8717D">
        <w:rPr>
          <w:strike/>
        </w:rPr>
        <w:t>s ohledem na článek 8 zmíněného rozhodnutí.</w:t>
      </w:r>
    </w:p>
    <w:p w:rsidR="00972824" w:rsidRPr="00A8717D" w:rsidRDefault="00972824" w:rsidP="00F20A42">
      <w:pPr>
        <w:jc w:val="both"/>
        <w:rPr>
          <w:strike/>
        </w:rPr>
      </w:pPr>
      <w:r w:rsidRPr="00A8717D">
        <w:rPr>
          <w:strike/>
        </w:rPr>
        <w:t>Doba uvedená v čl. 5 odst. 6 rozhodnutí 1999/468/ES je tři měsíce.</w:t>
      </w:r>
    </w:p>
    <w:p w:rsidR="002844E0" w:rsidRDefault="002844E0" w:rsidP="00972824">
      <w:pPr>
        <w:rPr>
          <w:b/>
          <w:bCs/>
        </w:rPr>
      </w:pPr>
    </w:p>
    <w:p w:rsidR="006D6A75" w:rsidRPr="006D6A75" w:rsidRDefault="006D6A75" w:rsidP="006D6A75">
      <w:pPr>
        <w:jc w:val="center"/>
        <w:rPr>
          <w:b/>
          <w:bCs/>
          <w:i/>
          <w:u w:val="single"/>
        </w:rPr>
      </w:pPr>
      <w:r w:rsidRPr="006D6A75">
        <w:rPr>
          <w:b/>
          <w:bCs/>
          <w:i/>
          <w:u w:val="single"/>
        </w:rPr>
        <w:t>Článek 13b</w:t>
      </w:r>
    </w:p>
    <w:p w:rsidR="006D6A75" w:rsidRPr="006D6A75" w:rsidRDefault="006D6A75" w:rsidP="00F20A42">
      <w:pPr>
        <w:jc w:val="both"/>
        <w:rPr>
          <w:b/>
          <w:bCs/>
          <w:u w:val="single"/>
        </w:rPr>
      </w:pPr>
      <w:r w:rsidRPr="006D6A75">
        <w:rPr>
          <w:b/>
          <w:bCs/>
          <w:u w:val="single"/>
        </w:rPr>
        <w:t>1.  Komisi je nápomocen výbor. Tento výbor je výborem ve smyslu nařízení Evropského parlamentu a Rady (EU) č. 182/2011</w:t>
      </w:r>
      <w:r w:rsidRPr="006D6A75">
        <w:rPr>
          <w:rStyle w:val="Znakapoznpodarou"/>
          <w:b/>
          <w:bCs/>
          <w:u w:val="single"/>
        </w:rPr>
        <w:footnoteReference w:id="9"/>
      </w:r>
      <w:r w:rsidRPr="006D6A75">
        <w:rPr>
          <w:b/>
          <w:bCs/>
          <w:u w:val="single"/>
          <w:vertAlign w:val="superscript"/>
        </w:rPr>
        <w:t>)</w:t>
      </w:r>
      <w:r w:rsidRPr="006D6A75">
        <w:rPr>
          <w:b/>
          <w:bCs/>
          <w:u w:val="single"/>
        </w:rPr>
        <w:t>.</w:t>
      </w:r>
    </w:p>
    <w:p w:rsidR="006D6A75" w:rsidRDefault="006D6A75" w:rsidP="00F20A42">
      <w:pPr>
        <w:jc w:val="both"/>
        <w:rPr>
          <w:b/>
          <w:bCs/>
          <w:u w:val="single"/>
        </w:rPr>
      </w:pPr>
      <w:r w:rsidRPr="006D6A75">
        <w:rPr>
          <w:b/>
          <w:bCs/>
          <w:u w:val="single"/>
        </w:rPr>
        <w:t>2.  Odkazuje-li se na tento odstavec, použije se článek 5 nařízení (EU) č. 182/2011.</w:t>
      </w:r>
    </w:p>
    <w:p w:rsidR="006D6A75" w:rsidRPr="006D6A75" w:rsidRDefault="006D6A75" w:rsidP="006D6A75">
      <w:pPr>
        <w:rPr>
          <w:b/>
          <w:bCs/>
          <w:u w:val="single"/>
        </w:rPr>
      </w:pPr>
    </w:p>
    <w:p w:rsidR="00972824" w:rsidRPr="00225BF7" w:rsidRDefault="00972824" w:rsidP="00225BF7">
      <w:pPr>
        <w:jc w:val="center"/>
        <w:rPr>
          <w:b/>
          <w:i/>
          <w:iCs/>
        </w:rPr>
      </w:pPr>
      <w:r w:rsidRPr="00225BF7">
        <w:rPr>
          <w:b/>
          <w:i/>
          <w:iCs/>
        </w:rPr>
        <w:t>Článek 14</w:t>
      </w:r>
    </w:p>
    <w:p w:rsidR="00972824" w:rsidRPr="00972824" w:rsidRDefault="00972824" w:rsidP="00F20A42">
      <w:pPr>
        <w:jc w:val="both"/>
      </w:pPr>
      <w:r w:rsidRPr="00972824">
        <w:t>Členské státy přijmou veškeré předpisy zakazující na jejich území dovoz</w:t>
      </w:r>
    </w:p>
    <w:p w:rsidR="00972824" w:rsidRPr="00972824" w:rsidRDefault="00972824" w:rsidP="00F20A42">
      <w:pPr>
        <w:jc w:val="both"/>
      </w:pPr>
      <w:r w:rsidRPr="00972824">
        <w:lastRenderedPageBreak/>
        <w:t>—  palné zbraně</w:t>
      </w:r>
      <w:r w:rsidRPr="00972824">
        <w:rPr>
          <w:b/>
          <w:bCs/>
        </w:rPr>
        <w:t> </w:t>
      </w:r>
      <w:r w:rsidRPr="00972824">
        <w:t>mimo případy uvedené v článcích 11 a 12 a s výhradou dodržení podmínek v nich stanovených,</w:t>
      </w:r>
    </w:p>
    <w:p w:rsidR="00972824" w:rsidRPr="00972824" w:rsidRDefault="00972824" w:rsidP="00F20A42">
      <w:pPr>
        <w:jc w:val="both"/>
      </w:pPr>
      <w:r w:rsidRPr="00972824">
        <w:t>— zbraně jiné než palné</w:t>
      </w:r>
      <w:r w:rsidRPr="00972824">
        <w:rPr>
          <w:b/>
          <w:bCs/>
        </w:rPr>
        <w:t> </w:t>
      </w:r>
      <w:r w:rsidRPr="00972824">
        <w:t>s výhradou, že to povolují vnitrostátní předpisy dotyčného členského státu.</w:t>
      </w:r>
    </w:p>
    <w:p w:rsidR="00972824" w:rsidRPr="00972824" w:rsidRDefault="00972824" w:rsidP="00972824"/>
    <w:p w:rsidR="00972824" w:rsidRPr="00972824" w:rsidRDefault="00972824" w:rsidP="00225BF7">
      <w:pPr>
        <w:jc w:val="center"/>
      </w:pPr>
      <w:r w:rsidRPr="00972824">
        <w:t>KAPITOLA 4</w:t>
      </w:r>
    </w:p>
    <w:p w:rsidR="00972824" w:rsidRPr="00972824" w:rsidRDefault="00972824" w:rsidP="00225BF7">
      <w:pPr>
        <w:jc w:val="center"/>
        <w:rPr>
          <w:b/>
          <w:bCs/>
        </w:rPr>
      </w:pPr>
      <w:r w:rsidRPr="00972824">
        <w:rPr>
          <w:b/>
          <w:bCs/>
        </w:rPr>
        <w:t>Závěrečná ustanovení</w:t>
      </w:r>
    </w:p>
    <w:p w:rsidR="002844E0" w:rsidRDefault="002844E0" w:rsidP="00225BF7">
      <w:pPr>
        <w:jc w:val="center"/>
        <w:rPr>
          <w:i/>
          <w:iCs/>
        </w:rPr>
      </w:pPr>
    </w:p>
    <w:p w:rsidR="00972824" w:rsidRPr="00225BF7" w:rsidRDefault="00972824" w:rsidP="00225BF7">
      <w:pPr>
        <w:jc w:val="center"/>
        <w:rPr>
          <w:b/>
          <w:i/>
          <w:iCs/>
        </w:rPr>
      </w:pPr>
      <w:r w:rsidRPr="00225BF7">
        <w:rPr>
          <w:b/>
          <w:i/>
          <w:iCs/>
        </w:rPr>
        <w:t>Článek 15</w:t>
      </w:r>
    </w:p>
    <w:p w:rsidR="00972824" w:rsidRPr="00972824" w:rsidRDefault="00972824" w:rsidP="00F20A42">
      <w:pPr>
        <w:jc w:val="both"/>
      </w:pPr>
      <w:r w:rsidRPr="00972824">
        <w:t xml:space="preserve">1.  Členské státy zesílí kontroly držení zbraní na vnějších hranicích </w:t>
      </w:r>
      <w:r w:rsidR="006D6A75" w:rsidRPr="006D6A75">
        <w:rPr>
          <w:b/>
          <w:u w:val="single"/>
        </w:rPr>
        <w:t>Unie</w:t>
      </w:r>
      <w:r w:rsidR="006D6A75">
        <w:t xml:space="preserve"> </w:t>
      </w:r>
      <w:r w:rsidRPr="006D6A75">
        <w:rPr>
          <w:strike/>
        </w:rPr>
        <w:t>Společenství</w:t>
      </w:r>
      <w:r w:rsidRPr="00972824">
        <w:t>. Zejména dbají, aby cestující z třetích zemí, kteří zamýšlí cestovat do jiného členského státu, dodrželi článek 12.</w:t>
      </w:r>
    </w:p>
    <w:p w:rsidR="00972824" w:rsidRPr="00972824" w:rsidRDefault="00972824" w:rsidP="00F20A42">
      <w:pPr>
        <w:jc w:val="both"/>
      </w:pPr>
      <w:r w:rsidRPr="00972824">
        <w:t>2.  Tato směrnice nebrání kontrolám prováděným členskými státy nebo přepravcem během nastupování do dopravního prostředku.</w:t>
      </w:r>
    </w:p>
    <w:p w:rsidR="00972824" w:rsidRPr="00972824" w:rsidRDefault="00972824" w:rsidP="00F20A42">
      <w:pPr>
        <w:jc w:val="both"/>
      </w:pPr>
      <w:r w:rsidRPr="00972824">
        <w:t>3.  Členské státy informují Komisi o způsobech, kterými se provádějí kontroly uvedené v odstavcích 1 a 2. Komise shromáždí tyto informace a dá je k dispozici všem členským státům.</w:t>
      </w:r>
    </w:p>
    <w:p w:rsidR="00972824" w:rsidRPr="00972824" w:rsidRDefault="00972824" w:rsidP="00F20A42">
      <w:pPr>
        <w:jc w:val="both"/>
      </w:pPr>
      <w:r w:rsidRPr="00972824">
        <w:t>4.  Členské státy sdělí Komisi své vnitrostátní předpisy včetně změn týkajících se nabývání a držení zbraní, pokud jsou vnitrostátní předpisy přísnější než základní norma, kterou mají přijmout. Komise předá tyto informace ostatním členským státům.</w:t>
      </w:r>
    </w:p>
    <w:p w:rsidR="002844E0" w:rsidRDefault="002844E0" w:rsidP="00972824">
      <w:pPr>
        <w:rPr>
          <w:b/>
          <w:bCs/>
        </w:rPr>
      </w:pPr>
    </w:p>
    <w:p w:rsidR="00972824" w:rsidRPr="00225BF7" w:rsidRDefault="00972824" w:rsidP="00F20A42">
      <w:pPr>
        <w:keepNext/>
        <w:jc w:val="center"/>
        <w:rPr>
          <w:b/>
          <w:i/>
          <w:iCs/>
        </w:rPr>
      </w:pPr>
      <w:r w:rsidRPr="00225BF7">
        <w:rPr>
          <w:b/>
          <w:i/>
          <w:iCs/>
        </w:rPr>
        <w:t>Článek 16</w:t>
      </w:r>
    </w:p>
    <w:p w:rsidR="00972824" w:rsidRPr="00972824" w:rsidRDefault="00972824" w:rsidP="00F20A42">
      <w:pPr>
        <w:jc w:val="both"/>
      </w:pPr>
      <w:r w:rsidRPr="00972824">
        <w:t>Členské státy stanoví pravidla pro sankce za porušení vnitrostátních předpisů přijatých na základě této směrnice a přijmou veškerá nezbytná opatření, aby zajistily jejich uplatňování. Stanovené sankce musí být účinné, přiměřené a odrazující.</w:t>
      </w:r>
    </w:p>
    <w:p w:rsidR="002844E0" w:rsidRDefault="002844E0" w:rsidP="00972824">
      <w:pPr>
        <w:rPr>
          <w:i/>
          <w:iCs/>
        </w:rPr>
      </w:pPr>
    </w:p>
    <w:p w:rsidR="00972824" w:rsidRPr="00225BF7" w:rsidRDefault="00972824" w:rsidP="00225BF7">
      <w:pPr>
        <w:jc w:val="center"/>
        <w:rPr>
          <w:b/>
          <w:i/>
          <w:iCs/>
        </w:rPr>
      </w:pPr>
      <w:r w:rsidRPr="00225BF7">
        <w:rPr>
          <w:b/>
          <w:i/>
          <w:iCs/>
        </w:rPr>
        <w:t>Článek 17</w:t>
      </w:r>
    </w:p>
    <w:p w:rsidR="006D6A75" w:rsidRPr="006D6A75" w:rsidRDefault="006D6A75" w:rsidP="00F20A42">
      <w:pPr>
        <w:jc w:val="both"/>
        <w:rPr>
          <w:b/>
          <w:u w:val="single"/>
        </w:rPr>
      </w:pPr>
      <w:r w:rsidRPr="006D6A75">
        <w:rPr>
          <w:b/>
          <w:u w:val="single"/>
        </w:rPr>
        <w:t>Do ... [39 měsíců po vstupu této pozměňující směrnice v platnost] a poté každých pět let předloží Komise Evropskému parlamentu a Radě zprávu o uplatňování této směrnice, včetně kontroly účinnosti jejích ustanovení, případně doprovázenou legislativními návrhy týkajícími se zejména kategorií palných zbraní uvedených v příloze I a otázek uplatňování systému pro evropský zbrojní pas, označování a dopadů nových technologií, jako je 3D tisk, využívání kódu pro rychlou odpověď (QR) a využívání radiofrekvenční identifikace (RFID).</w:t>
      </w:r>
    </w:p>
    <w:p w:rsidR="00972824" w:rsidRPr="006D6A75" w:rsidRDefault="00972824" w:rsidP="00F20A42">
      <w:pPr>
        <w:jc w:val="both"/>
        <w:rPr>
          <w:strike/>
        </w:rPr>
      </w:pPr>
      <w:r w:rsidRPr="006D6A75">
        <w:rPr>
          <w:strike/>
        </w:rPr>
        <w:t>Do 28. července 2015 předloží Komise Evropskému parlamentu a Radě zprávu o situaci vyplývající z uplatňování této směrnice, popřípadě doprovázenou návrhy.</w:t>
      </w:r>
    </w:p>
    <w:p w:rsidR="00972824" w:rsidRPr="006D6A75" w:rsidRDefault="00972824" w:rsidP="00F20A42">
      <w:pPr>
        <w:jc w:val="both"/>
        <w:rPr>
          <w:strike/>
        </w:rPr>
      </w:pPr>
      <w:r w:rsidRPr="006D6A75">
        <w:rPr>
          <w:strike/>
        </w:rPr>
        <w:lastRenderedPageBreak/>
        <w:t>Do 28. července 2012 provede Komise výzkum a předloží Evropskému parlamentu a Radě zprávu o možných výhodách a nevýhodách snížení počtu kategorií </w:t>
      </w:r>
      <w:r w:rsidR="002844E0" w:rsidRPr="006D6A75">
        <w:rPr>
          <w:strike/>
        </w:rPr>
        <w:t xml:space="preserve"> </w:t>
      </w:r>
      <w:r w:rsidRPr="006D6A75">
        <w:rPr>
          <w:strike/>
        </w:rPr>
        <w:t>palných zbraní</w:t>
      </w:r>
      <w:r w:rsidRPr="006D6A75">
        <w:rPr>
          <w:b/>
          <w:bCs/>
          <w:strike/>
        </w:rPr>
        <w:t> </w:t>
      </w:r>
      <w:r w:rsidRPr="006D6A75">
        <w:rPr>
          <w:strike/>
        </w:rPr>
        <w:t>na dvě (zakázané a povolené) s cílem dosáhnout lepšího fungování vnitřního trhu pro tyto výrobky prostřednictvím případného zjednodušení.</w:t>
      </w:r>
    </w:p>
    <w:p w:rsidR="00972824" w:rsidRPr="00972824" w:rsidRDefault="00972824" w:rsidP="00F20A42">
      <w:pPr>
        <w:jc w:val="both"/>
      </w:pPr>
      <w:r w:rsidRPr="006D6A75">
        <w:rPr>
          <w:strike/>
        </w:rPr>
        <w:t>Do 28. července 2010 předloží Komise Evropskému parlamentu a Radě zprávu se závěry studie týkající se uvádění replik palných zbraní</w:t>
      </w:r>
      <w:r w:rsidRPr="006D6A75">
        <w:rPr>
          <w:b/>
          <w:bCs/>
          <w:strike/>
        </w:rPr>
        <w:t> </w:t>
      </w:r>
      <w:r w:rsidRPr="006D6A75">
        <w:rPr>
          <w:strike/>
        </w:rPr>
        <w:t>na trh, aby se stanovilo, zda je začlenění těchto výrobků do působnosti této směrnice možné a žádoucí.</w:t>
      </w:r>
    </w:p>
    <w:p w:rsidR="002844E0" w:rsidRDefault="002844E0" w:rsidP="00972824">
      <w:pPr>
        <w:rPr>
          <w:b/>
          <w:bCs/>
        </w:rPr>
      </w:pPr>
    </w:p>
    <w:p w:rsidR="00972824" w:rsidRPr="00225BF7" w:rsidRDefault="00972824" w:rsidP="00225BF7">
      <w:pPr>
        <w:jc w:val="center"/>
        <w:rPr>
          <w:b/>
          <w:i/>
          <w:iCs/>
        </w:rPr>
      </w:pPr>
      <w:r w:rsidRPr="00225BF7">
        <w:rPr>
          <w:b/>
          <w:i/>
          <w:iCs/>
        </w:rPr>
        <w:t>Článek 18</w:t>
      </w:r>
    </w:p>
    <w:p w:rsidR="00972824" w:rsidRPr="00972824" w:rsidRDefault="00972824" w:rsidP="00F20A42">
      <w:pPr>
        <w:jc w:val="both"/>
      </w:pPr>
      <w:r w:rsidRPr="00972824">
        <w:t>Členské státy přijmou právní a správní předpisy nezbytné pro dosažení souladu s touto směrnicí tak, aby opatření uvedená v této směrnici nabyla účinnosti nejpozději do 1. ledna 1993. O přijatých opatřeních neprodleně uvědomí Komisi a ostatní členské státy.</w:t>
      </w:r>
    </w:p>
    <w:p w:rsidR="00972824" w:rsidRPr="00972824" w:rsidRDefault="00972824" w:rsidP="00F20A42">
      <w:pPr>
        <w:jc w:val="both"/>
      </w:pPr>
      <w:r w:rsidRPr="00972824">
        <w:t>Tato opatření přijatá členskými státy musí obsahovat odkaz na tuto směrnici nebo musí být takový odkaz učiněn při jejich úředním vyhlášení. Způsob odkazu si stanoví členské státy.</w:t>
      </w:r>
    </w:p>
    <w:p w:rsidR="00225BF7" w:rsidRDefault="00225BF7" w:rsidP="00972824">
      <w:pPr>
        <w:rPr>
          <w:i/>
          <w:iCs/>
        </w:rPr>
      </w:pPr>
    </w:p>
    <w:p w:rsidR="00972824" w:rsidRPr="00225BF7" w:rsidRDefault="00972824" w:rsidP="00225BF7">
      <w:pPr>
        <w:jc w:val="center"/>
        <w:rPr>
          <w:b/>
          <w:i/>
          <w:iCs/>
        </w:rPr>
      </w:pPr>
      <w:r w:rsidRPr="00225BF7">
        <w:rPr>
          <w:b/>
          <w:i/>
          <w:iCs/>
        </w:rPr>
        <w:t>Článek 19</w:t>
      </w:r>
    </w:p>
    <w:p w:rsidR="00972824" w:rsidRPr="00972824" w:rsidRDefault="00972824" w:rsidP="00F20A42">
      <w:pPr>
        <w:jc w:val="both"/>
      </w:pPr>
      <w:r w:rsidRPr="00972824">
        <w:t>Tato směrnice je určena členským státům.</w:t>
      </w:r>
    </w:p>
    <w:p w:rsidR="00972824" w:rsidRPr="00972824" w:rsidRDefault="00972824" w:rsidP="00972824"/>
    <w:p w:rsidR="00972824" w:rsidRPr="00972824" w:rsidRDefault="00A078A8" w:rsidP="00972824">
      <w:r>
        <w:pict>
          <v:rect id="_x0000_i1025" style="width:73.4pt;height:.75pt" o:hrpct="0" o:hralign="center" o:hrstd="t" o:hrnoshade="t" o:hr="t" fillcolor="black" stroked="f"/>
        </w:pict>
      </w:r>
    </w:p>
    <w:p w:rsidR="00F20A42" w:rsidRDefault="00F20A42">
      <w:pPr>
        <w:rPr>
          <w:b/>
          <w:i/>
          <w:iCs/>
        </w:rPr>
      </w:pPr>
      <w:r>
        <w:rPr>
          <w:b/>
          <w:i/>
          <w:iCs/>
        </w:rPr>
        <w:br w:type="page"/>
      </w:r>
    </w:p>
    <w:p w:rsidR="00972824" w:rsidRPr="00225BF7" w:rsidRDefault="00972824" w:rsidP="00972824">
      <w:pPr>
        <w:rPr>
          <w:b/>
          <w:i/>
          <w:iCs/>
        </w:rPr>
      </w:pPr>
      <w:r w:rsidRPr="00225BF7">
        <w:rPr>
          <w:b/>
          <w:i/>
          <w:iCs/>
        </w:rPr>
        <w:lastRenderedPageBreak/>
        <w:t>PŘÍLOHA I</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0"/>
        <w:gridCol w:w="8857"/>
      </w:tblGrid>
      <w:tr w:rsidR="00972824" w:rsidRPr="00972824" w:rsidTr="00972824">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72824" w:rsidRPr="00587ED3" w:rsidRDefault="00972824" w:rsidP="00F20A42">
            <w:pPr>
              <w:jc w:val="both"/>
              <w:rPr>
                <w:b/>
              </w:rPr>
            </w:pPr>
            <w:r w:rsidRPr="00587ED3">
              <w:rPr>
                <w:b/>
              </w:rPr>
              <w:t>I.</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72824" w:rsidRPr="00972824" w:rsidRDefault="00972824" w:rsidP="00F20A42">
            <w:pPr>
              <w:jc w:val="both"/>
            </w:pPr>
            <w:r w:rsidRPr="00972824">
              <w:t>Pro účely této směrnice se „zbraněmi“ rozumí:</w:t>
            </w:r>
          </w:p>
          <w:p w:rsidR="00972824" w:rsidRPr="00972824" w:rsidRDefault="00972824" w:rsidP="00F20A42">
            <w:pPr>
              <w:jc w:val="both"/>
            </w:pPr>
            <w:r w:rsidRPr="00972824">
              <w:t>—  palné zbraně</w:t>
            </w:r>
            <w:r w:rsidRPr="00972824">
              <w:rPr>
                <w:b/>
                <w:bCs/>
              </w:rPr>
              <w:t> </w:t>
            </w:r>
            <w:r w:rsidRPr="00972824">
              <w:t>definované v článku 1 směrnice,</w:t>
            </w:r>
          </w:p>
          <w:p w:rsidR="00972824" w:rsidRDefault="00972824" w:rsidP="00F20A42">
            <w:pPr>
              <w:jc w:val="both"/>
            </w:pPr>
            <w:r w:rsidRPr="00972824">
              <w:t>— zbraně jiné než palné</w:t>
            </w:r>
            <w:r w:rsidRPr="00972824">
              <w:rPr>
                <w:b/>
                <w:bCs/>
              </w:rPr>
              <w:t> </w:t>
            </w:r>
            <w:r w:rsidRPr="00972824">
              <w:t>ve smyslu vnitrostátních právních předpisů.</w:t>
            </w:r>
          </w:p>
          <w:p w:rsidR="00225BF7" w:rsidRPr="00972824" w:rsidRDefault="00225BF7" w:rsidP="00F20A42">
            <w:pPr>
              <w:jc w:val="both"/>
            </w:pPr>
          </w:p>
        </w:tc>
      </w:tr>
    </w:tbl>
    <w:p w:rsidR="00972824" w:rsidRPr="00972824" w:rsidRDefault="00972824" w:rsidP="00F20A42">
      <w:pPr>
        <w:jc w:val="both"/>
        <w:rPr>
          <w:vanish/>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2"/>
        <w:gridCol w:w="8895"/>
      </w:tblGrid>
      <w:tr w:rsidR="00972824" w:rsidRPr="00972824" w:rsidTr="00972824">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72824" w:rsidRPr="00587ED3" w:rsidRDefault="00972824" w:rsidP="00F20A42">
            <w:pPr>
              <w:jc w:val="both"/>
              <w:rPr>
                <w:b/>
              </w:rPr>
            </w:pPr>
            <w:r w:rsidRPr="00587ED3">
              <w:rPr>
                <w:b/>
              </w:rPr>
              <w:t>II.</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72824" w:rsidRPr="00972824" w:rsidRDefault="00DD4706" w:rsidP="00F20A42">
            <w:pPr>
              <w:jc w:val="both"/>
            </w:pPr>
            <w:r w:rsidRPr="00DD4706">
              <w:rPr>
                <w:b/>
                <w:u w:val="single"/>
              </w:rPr>
              <w:t>Pro účely této směrnice jsou palné zbraně zařazeny do těchto kategorií:</w:t>
            </w:r>
            <w:r>
              <w:t xml:space="preserve"> </w:t>
            </w:r>
            <w:r w:rsidR="002844E0" w:rsidRPr="00DD4706">
              <w:rPr>
                <w:strike/>
              </w:rPr>
              <w:t>Pro účely této směrnice se „</w:t>
            </w:r>
            <w:r w:rsidR="00972824" w:rsidRPr="00DD4706">
              <w:rPr>
                <w:strike/>
              </w:rPr>
              <w:t>palnými zbraněmi“ rozumí:</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8"/>
              <w:gridCol w:w="8476"/>
            </w:tblGrid>
            <w:tr w:rsidR="00972824" w:rsidRPr="00972824">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72824" w:rsidRPr="00587ED3" w:rsidRDefault="00972824" w:rsidP="00F20A42">
                  <w:pPr>
                    <w:jc w:val="both"/>
                    <w:rPr>
                      <w:b/>
                    </w:rPr>
                  </w:pPr>
                  <w:r w:rsidRPr="00587ED3">
                    <w:rPr>
                      <w:b/>
                    </w:rPr>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72824" w:rsidRPr="00DD4706" w:rsidRDefault="00972824" w:rsidP="00F20A42">
                  <w:pPr>
                    <w:jc w:val="both"/>
                    <w:rPr>
                      <w:strike/>
                    </w:rPr>
                  </w:pPr>
                  <w:r w:rsidRPr="00DD4706">
                    <w:rPr>
                      <w:strike/>
                    </w:rPr>
                    <w:t>Jakýkoli předmět, jenž spadá do některé z následujících kategorií, s výjimkou těch předmětů, které definici odpovídají, ale byly z ní vyloučeny z důvodů uvedených v bodě III.</w:t>
                  </w:r>
                </w:p>
                <w:p w:rsidR="002844E0" w:rsidRDefault="002844E0" w:rsidP="00F20A42">
                  <w:pPr>
                    <w:jc w:val="both"/>
                    <w:rPr>
                      <w:b/>
                      <w:bCs/>
                      <w:i/>
                      <w:iCs/>
                    </w:rPr>
                  </w:pPr>
                </w:p>
                <w:p w:rsidR="00972824" w:rsidRPr="00DD4706" w:rsidRDefault="00972824" w:rsidP="00F20A42">
                  <w:pPr>
                    <w:jc w:val="both"/>
                    <w:rPr>
                      <w:b/>
                      <w:bCs/>
                      <w:sz w:val="28"/>
                    </w:rPr>
                  </w:pPr>
                  <w:r w:rsidRPr="00DD4706">
                    <w:rPr>
                      <w:b/>
                      <w:bCs/>
                      <w:i/>
                      <w:iCs/>
                      <w:sz w:val="28"/>
                    </w:rPr>
                    <w:t>Kategorie A –</w:t>
                  </w:r>
                  <w:r w:rsidRPr="00DD4706">
                    <w:rPr>
                      <w:b/>
                      <w:bCs/>
                      <w:sz w:val="28"/>
                    </w:rPr>
                    <w:t> </w:t>
                  </w:r>
                  <w:r w:rsidRPr="00DD4706">
                    <w:rPr>
                      <w:b/>
                      <w:bCs/>
                      <w:i/>
                      <w:iCs/>
                      <w:sz w:val="28"/>
                    </w:rPr>
                    <w:t>Zakázané palné zbraně</w:t>
                  </w:r>
                </w:p>
                <w:p w:rsidR="00972824" w:rsidRPr="00972824" w:rsidRDefault="00972824" w:rsidP="00F20A42">
                  <w:pPr>
                    <w:jc w:val="both"/>
                  </w:pPr>
                  <w:r w:rsidRPr="00972824">
                    <w:t>1. Výbušné vojenské střely a odpalovací zařízení.</w:t>
                  </w:r>
                </w:p>
                <w:p w:rsidR="00972824" w:rsidRPr="00972824" w:rsidRDefault="00972824" w:rsidP="00F20A42">
                  <w:pPr>
                    <w:jc w:val="both"/>
                  </w:pPr>
                  <w:r w:rsidRPr="00972824">
                    <w:t>2. Automatické palné zbraně.</w:t>
                  </w:r>
                </w:p>
                <w:p w:rsidR="00972824" w:rsidRPr="00972824" w:rsidRDefault="00972824" w:rsidP="00F20A42">
                  <w:pPr>
                    <w:jc w:val="both"/>
                  </w:pPr>
                  <w:r w:rsidRPr="00972824">
                    <w:t>3.  Palné zbraně</w:t>
                  </w:r>
                  <w:r w:rsidRPr="00972824">
                    <w:rPr>
                      <w:b/>
                      <w:bCs/>
                    </w:rPr>
                    <w:t> </w:t>
                  </w:r>
                  <w:r w:rsidRPr="00972824">
                    <w:t>maskované jako jiné předměty.</w:t>
                  </w:r>
                </w:p>
                <w:p w:rsidR="00972824" w:rsidRPr="00972824" w:rsidRDefault="00972824" w:rsidP="00F20A42">
                  <w:pPr>
                    <w:jc w:val="both"/>
                  </w:pPr>
                  <w:r w:rsidRPr="00972824">
                    <w:t>4. Střelivo s průbojnými, výbušnými nebo zápalnými střelami, jakož i střely pro takové střelivo.</w:t>
                  </w:r>
                </w:p>
                <w:p w:rsidR="00972824" w:rsidRDefault="00972824" w:rsidP="00F20A42">
                  <w:pPr>
                    <w:jc w:val="both"/>
                  </w:pPr>
                  <w:r w:rsidRPr="00972824">
                    <w:t>5. Střelivo pro pistole a revolvery s expanzními střelami, jakož i střely pro takové střelivo, s výjimkou zbraní určených k lovu nebo ke sportovní střelbě pro osoby oprávněné užívat tyto zbraně.</w:t>
                  </w:r>
                </w:p>
                <w:p w:rsidR="00DD4706" w:rsidRPr="00DD4706" w:rsidRDefault="00DD4706" w:rsidP="00F20A42">
                  <w:pPr>
                    <w:jc w:val="both"/>
                    <w:rPr>
                      <w:b/>
                      <w:u w:val="single"/>
                    </w:rPr>
                  </w:pPr>
                  <w:r w:rsidRPr="00DD4706">
                    <w:rPr>
                      <w:b/>
                      <w:u w:val="single"/>
                    </w:rPr>
                    <w:t>6. Samočinné palné zbraně, které byly přeměněny na samonabíjecí palné zbraně, aniž je dotčen čl. 7 odst. 4a .</w:t>
                  </w:r>
                </w:p>
                <w:p w:rsidR="00DD4706" w:rsidRPr="00DD4706" w:rsidRDefault="00DD4706" w:rsidP="00F20A42">
                  <w:pPr>
                    <w:jc w:val="both"/>
                    <w:rPr>
                      <w:b/>
                      <w:u w:val="single"/>
                    </w:rPr>
                  </w:pPr>
                  <w:r w:rsidRPr="00DD4706">
                    <w:rPr>
                      <w:b/>
                      <w:u w:val="single"/>
                    </w:rPr>
                    <w:t>7.  Jakékoli z těchto samonabíjecích palných zbraní pro střelivo se středovým zápalem:</w:t>
                  </w:r>
                </w:p>
                <w:p w:rsidR="00DD4706" w:rsidRPr="00DD4706" w:rsidRDefault="00DD4706" w:rsidP="00F20A42">
                  <w:pPr>
                    <w:ind w:left="755"/>
                    <w:jc w:val="both"/>
                    <w:rPr>
                      <w:b/>
                      <w:u w:val="single"/>
                    </w:rPr>
                  </w:pPr>
                  <w:r w:rsidRPr="00DD4706">
                    <w:rPr>
                      <w:b/>
                      <w:u w:val="single"/>
                    </w:rPr>
                    <w:t>a) krátké palné zbraně, které umožňují vystřelit více než 21 nábojů bez opětovného nabití, pokud:</w:t>
                  </w:r>
                </w:p>
                <w:p w:rsidR="00DD4706" w:rsidRPr="00DD4706" w:rsidRDefault="00DD4706" w:rsidP="00F20A42">
                  <w:pPr>
                    <w:ind w:left="1464"/>
                    <w:jc w:val="both"/>
                    <w:rPr>
                      <w:b/>
                      <w:u w:val="single"/>
                    </w:rPr>
                  </w:pPr>
                  <w:r w:rsidRPr="00DD4706">
                    <w:rPr>
                      <w:b/>
                      <w:u w:val="single"/>
                    </w:rPr>
                    <w:t>i) je součástí palné zbraně zásobovací ústrojí s kapacitou vyšší než 20 nábojů; nebo</w:t>
                  </w:r>
                </w:p>
                <w:p w:rsidR="00DD4706" w:rsidRPr="00DD4706" w:rsidRDefault="00DD4706" w:rsidP="00F20A42">
                  <w:pPr>
                    <w:ind w:left="1464"/>
                    <w:jc w:val="both"/>
                    <w:rPr>
                      <w:b/>
                      <w:u w:val="single"/>
                    </w:rPr>
                  </w:pPr>
                  <w:r w:rsidRPr="00DD4706">
                    <w:rPr>
                      <w:b/>
                      <w:u w:val="single"/>
                    </w:rPr>
                    <w:t>ii) je do ní vloženo odnímatelné zásobovací ústrojí s kapacitou vyšší než 20 nábojů;</w:t>
                  </w:r>
                </w:p>
                <w:p w:rsidR="00DD4706" w:rsidRPr="00DD4706" w:rsidRDefault="00DD4706" w:rsidP="00F20A42">
                  <w:pPr>
                    <w:ind w:left="755"/>
                    <w:jc w:val="both"/>
                    <w:rPr>
                      <w:b/>
                      <w:u w:val="single"/>
                    </w:rPr>
                  </w:pPr>
                  <w:r w:rsidRPr="00DD4706">
                    <w:rPr>
                      <w:b/>
                      <w:u w:val="single"/>
                    </w:rPr>
                    <w:t xml:space="preserve">b) dlouhé palné zbraně, které umožňují vystřelit více než 11 nábojů bez </w:t>
                  </w:r>
                  <w:r w:rsidRPr="00DD4706">
                    <w:rPr>
                      <w:b/>
                      <w:u w:val="single"/>
                    </w:rPr>
                    <w:lastRenderedPageBreak/>
                    <w:t>opětovného nabití, pokud:</w:t>
                  </w:r>
                </w:p>
                <w:p w:rsidR="00DD4706" w:rsidRPr="00DD4706" w:rsidRDefault="00DD4706" w:rsidP="00F20A42">
                  <w:pPr>
                    <w:ind w:left="1464"/>
                    <w:jc w:val="both"/>
                    <w:rPr>
                      <w:b/>
                      <w:u w:val="single"/>
                    </w:rPr>
                  </w:pPr>
                  <w:r w:rsidRPr="00DD4706">
                    <w:rPr>
                      <w:b/>
                      <w:u w:val="single"/>
                    </w:rPr>
                    <w:t>i) je součástí palné zbraně zásobovací ústrojí s kapacitou vyšší než 10 nábojů nebo</w:t>
                  </w:r>
                </w:p>
                <w:p w:rsidR="00DD4706" w:rsidRPr="00DD4706" w:rsidRDefault="00DD4706" w:rsidP="00F20A42">
                  <w:pPr>
                    <w:ind w:left="1464"/>
                    <w:jc w:val="both"/>
                    <w:rPr>
                      <w:b/>
                      <w:u w:val="single"/>
                    </w:rPr>
                  </w:pPr>
                  <w:r w:rsidRPr="00DD4706">
                    <w:rPr>
                      <w:b/>
                      <w:u w:val="single"/>
                    </w:rPr>
                    <w:t>ii) je do ní vloženo odnímatelné zásobovací ústrojí s kapacitou vyšší než 10 nábojů.</w:t>
                  </w:r>
                </w:p>
                <w:p w:rsidR="00DD4706" w:rsidRPr="00DD4706" w:rsidRDefault="00DD4706" w:rsidP="00F20A42">
                  <w:pPr>
                    <w:jc w:val="both"/>
                    <w:rPr>
                      <w:b/>
                      <w:u w:val="single"/>
                    </w:rPr>
                  </w:pPr>
                  <w:r w:rsidRPr="00DD4706">
                    <w:rPr>
                      <w:b/>
                      <w:u w:val="single"/>
                    </w:rPr>
                    <w:t>8.  Dlouhé samonabíjecí palné zbraně (tj. palné zbraně původně určené ke střelbě z ramene), které mohou být zkráceny na délku kratší než 60 cm, aniž by pozbyly funkčnost, prostřednictvím skládací nebo teleskopické ramenní opěry nebo ramenní opěry, kterou lze odstranit bez použití nástrojů.</w:t>
                  </w:r>
                </w:p>
                <w:p w:rsidR="00DD4706" w:rsidRPr="00972824" w:rsidRDefault="00DD4706" w:rsidP="00F20A42">
                  <w:pPr>
                    <w:jc w:val="both"/>
                  </w:pPr>
                  <w:r w:rsidRPr="00DD4706">
                    <w:rPr>
                      <w:b/>
                      <w:u w:val="single"/>
                    </w:rPr>
                    <w:t>9. Jakákoli palná zbraň v této kategorii, která byla přeměněna ke střelbě s využitím nábojek nebo cvičných nábojů, dráždivých látek, jiných účinných látek nebo pyrotechnických nábojů či na salutní nebo akustickou zbraň.</w:t>
                  </w:r>
                </w:p>
                <w:p w:rsidR="002844E0" w:rsidRDefault="002844E0" w:rsidP="00F20A42">
                  <w:pPr>
                    <w:jc w:val="both"/>
                    <w:rPr>
                      <w:b/>
                      <w:bCs/>
                      <w:i/>
                      <w:iCs/>
                    </w:rPr>
                  </w:pPr>
                </w:p>
                <w:p w:rsidR="00972824" w:rsidRPr="00DD4706" w:rsidRDefault="00972824" w:rsidP="00F20A42">
                  <w:pPr>
                    <w:jc w:val="both"/>
                    <w:rPr>
                      <w:b/>
                      <w:bCs/>
                      <w:sz w:val="28"/>
                    </w:rPr>
                  </w:pPr>
                  <w:r w:rsidRPr="00DD4706">
                    <w:rPr>
                      <w:b/>
                      <w:bCs/>
                      <w:i/>
                      <w:iCs/>
                      <w:sz w:val="28"/>
                    </w:rPr>
                    <w:t>Kategorie B –</w:t>
                  </w:r>
                  <w:r w:rsidRPr="00DD4706">
                    <w:rPr>
                      <w:b/>
                      <w:bCs/>
                      <w:sz w:val="28"/>
                    </w:rPr>
                    <w:t> </w:t>
                  </w:r>
                  <w:r w:rsidRPr="00DD4706">
                    <w:rPr>
                      <w:b/>
                      <w:bCs/>
                      <w:i/>
                      <w:iCs/>
                      <w:sz w:val="28"/>
                    </w:rPr>
                    <w:t>Palné zbraně podléhající povolení</w:t>
                  </w:r>
                </w:p>
                <w:p w:rsidR="00DD4706" w:rsidRPr="00DD4706" w:rsidRDefault="00DD4706" w:rsidP="00F20A42">
                  <w:pPr>
                    <w:jc w:val="both"/>
                    <w:rPr>
                      <w:b/>
                      <w:u w:val="single"/>
                    </w:rPr>
                  </w:pPr>
                  <w:r w:rsidRPr="00DD4706">
                    <w:rPr>
                      <w:b/>
                      <w:u w:val="single"/>
                    </w:rPr>
                    <w:t>1. Krátké opakovací palné zbraně.</w:t>
                  </w:r>
                </w:p>
                <w:p w:rsidR="00DD4706" w:rsidRPr="00DD4706" w:rsidRDefault="00DD4706" w:rsidP="00F20A42">
                  <w:pPr>
                    <w:jc w:val="both"/>
                    <w:rPr>
                      <w:b/>
                      <w:u w:val="single"/>
                    </w:rPr>
                  </w:pPr>
                  <w:r w:rsidRPr="00DD4706">
                    <w:rPr>
                      <w:b/>
                      <w:u w:val="single"/>
                    </w:rPr>
                    <w:t>2. Krátké jednoranové palné zbraně pro střelivo se středovým zápalem.</w:t>
                  </w:r>
                </w:p>
                <w:p w:rsidR="00DD4706" w:rsidRPr="00DD4706" w:rsidRDefault="00DD4706" w:rsidP="00F20A42">
                  <w:pPr>
                    <w:jc w:val="both"/>
                    <w:rPr>
                      <w:b/>
                      <w:u w:val="single"/>
                    </w:rPr>
                  </w:pPr>
                  <w:r w:rsidRPr="00DD4706">
                    <w:rPr>
                      <w:b/>
                      <w:u w:val="single"/>
                    </w:rPr>
                    <w:t>3. Krátké jednoranové palné zbraně pro střelivo s okrajovým zápalem, jejichž celková délka je menší než 28 cm.</w:t>
                  </w:r>
                </w:p>
                <w:p w:rsidR="00DD4706" w:rsidRPr="00DD4706" w:rsidRDefault="00DD4706" w:rsidP="00F20A42">
                  <w:pPr>
                    <w:jc w:val="both"/>
                    <w:rPr>
                      <w:b/>
                      <w:u w:val="single"/>
                    </w:rPr>
                  </w:pPr>
                  <w:r w:rsidRPr="00DD4706">
                    <w:rPr>
                      <w:b/>
                      <w:u w:val="single"/>
                    </w:rPr>
                    <w:t>4. Dlouhé samonabíjecí palné zbraně, jejichž zásobovací ústrojí a nábojová komora mohou dohromady pojmout více než tři náboje v případě palných zbraní pro střelivo s okrajovým zápalem a více než tři náboje, avšak méně než dvanáct nábojů v případě palných zbraní pro střelivo se středovým zápalem.</w:t>
                  </w:r>
                </w:p>
                <w:p w:rsidR="00DD4706" w:rsidRPr="00DD4706" w:rsidRDefault="00DD4706" w:rsidP="00F20A42">
                  <w:pPr>
                    <w:jc w:val="both"/>
                    <w:rPr>
                      <w:b/>
                      <w:u w:val="single"/>
                    </w:rPr>
                  </w:pPr>
                  <w:r w:rsidRPr="00DD4706">
                    <w:rPr>
                      <w:b/>
                      <w:u w:val="single"/>
                    </w:rPr>
                    <w:t>5. Krátké samonabíjecí palné zbraně jiné než uvedené v kategorii A bodě 7 písm. a).</w:t>
                  </w:r>
                </w:p>
                <w:p w:rsidR="00DD4706" w:rsidRPr="00DD4706" w:rsidRDefault="00DD4706" w:rsidP="00F20A42">
                  <w:pPr>
                    <w:jc w:val="both"/>
                    <w:rPr>
                      <w:b/>
                      <w:u w:val="single"/>
                    </w:rPr>
                  </w:pPr>
                  <w:r w:rsidRPr="00DD4706">
                    <w:rPr>
                      <w:b/>
                      <w:u w:val="single"/>
                    </w:rPr>
                    <w:t>6. Dlouhé samonabíjecí palné zbraně uvedené v kategorii A bodě 7 písm. b), jejichž zásobovací ústrojí a nábojová komora nemohou dohromady pojmout více než tři náboje, pokud je jejich zásobovací ústrojí odnímatelné nebo pokud není zaručeno, že nemohou být přeměněny běžnými nástroji na zbraně, jejichž zásobovací ústrojí a nábojová komora mohou dohromady pojmout více než tři náboje.</w:t>
                  </w:r>
                </w:p>
                <w:p w:rsidR="00DD4706" w:rsidRPr="00DD4706" w:rsidRDefault="00DD4706" w:rsidP="00F20A42">
                  <w:pPr>
                    <w:jc w:val="both"/>
                    <w:rPr>
                      <w:b/>
                      <w:u w:val="single"/>
                    </w:rPr>
                  </w:pPr>
                  <w:r w:rsidRPr="00DD4706">
                    <w:rPr>
                      <w:b/>
                      <w:u w:val="single"/>
                    </w:rPr>
                    <w:t>7. Dlouhé opakovací a samonabíjecí palné zbraně s hladkým vývrtem hlavně, která nepřesahuje délku 60 cm.</w:t>
                  </w:r>
                </w:p>
                <w:p w:rsidR="00DD4706" w:rsidRPr="00DD4706" w:rsidRDefault="00DD4706" w:rsidP="00F20A42">
                  <w:pPr>
                    <w:jc w:val="both"/>
                    <w:rPr>
                      <w:b/>
                      <w:u w:val="single"/>
                    </w:rPr>
                  </w:pPr>
                  <w:r w:rsidRPr="00DD4706">
                    <w:rPr>
                      <w:b/>
                      <w:u w:val="single"/>
                    </w:rPr>
                    <w:t>8. Jakákoli palná zbraň v této kategorii, která byla přeměněna ke střelbě s využitím nábojek nebo cvičných nábojů, dráždivých látek, jiných účinných látek nebo pyrotechnických nábojů či na salutní nebo akustickou zbraň.</w:t>
                  </w:r>
                </w:p>
                <w:p w:rsidR="00DD4706" w:rsidRDefault="00DD4706" w:rsidP="00F20A42">
                  <w:pPr>
                    <w:jc w:val="both"/>
                  </w:pPr>
                  <w:r w:rsidRPr="00DD4706">
                    <w:rPr>
                      <w:b/>
                      <w:u w:val="single"/>
                    </w:rPr>
                    <w:t xml:space="preserve">9. Samonabíjecí palné zbraně pro civilní použití, které mají vzhled zbraní se samočinným </w:t>
                  </w:r>
                  <w:r w:rsidRPr="00DD4706">
                    <w:rPr>
                      <w:b/>
                      <w:u w:val="single"/>
                    </w:rPr>
                    <w:lastRenderedPageBreak/>
                    <w:t>mechanismem, jiné než uvedené v kategorii A bodě 6, 7 nebo 8.</w:t>
                  </w:r>
                </w:p>
                <w:p w:rsidR="00972824" w:rsidRPr="00DD4706" w:rsidRDefault="00972824" w:rsidP="00F20A42">
                  <w:pPr>
                    <w:jc w:val="both"/>
                    <w:rPr>
                      <w:strike/>
                    </w:rPr>
                  </w:pPr>
                  <w:r w:rsidRPr="00DD4706">
                    <w:rPr>
                      <w:strike/>
                    </w:rPr>
                    <w:t>1. Krátké poloautomatické nebo opakovací palné zbraně.</w:t>
                  </w:r>
                </w:p>
                <w:p w:rsidR="00972824" w:rsidRPr="00DD4706" w:rsidRDefault="00972824" w:rsidP="00F20A42">
                  <w:pPr>
                    <w:jc w:val="both"/>
                    <w:rPr>
                      <w:strike/>
                    </w:rPr>
                  </w:pPr>
                  <w:r w:rsidRPr="00DD4706">
                    <w:rPr>
                      <w:strike/>
                    </w:rPr>
                    <w:t>2. Krátké jednoranové palné zbraně</w:t>
                  </w:r>
                  <w:r w:rsidRPr="00DD4706">
                    <w:rPr>
                      <w:b/>
                      <w:bCs/>
                      <w:strike/>
                    </w:rPr>
                    <w:t> </w:t>
                  </w:r>
                  <w:r w:rsidRPr="00DD4706">
                    <w:rPr>
                      <w:strike/>
                    </w:rPr>
                    <w:t>pro střelivo se středovým zápalem.</w:t>
                  </w:r>
                </w:p>
                <w:p w:rsidR="00972824" w:rsidRPr="00DD4706" w:rsidRDefault="00972824" w:rsidP="00F20A42">
                  <w:pPr>
                    <w:jc w:val="both"/>
                    <w:rPr>
                      <w:strike/>
                    </w:rPr>
                  </w:pPr>
                  <w:r w:rsidRPr="00DD4706">
                    <w:rPr>
                      <w:strike/>
                    </w:rPr>
                    <w:t>3. Krátké jednoranové palné zbraně</w:t>
                  </w:r>
                  <w:r w:rsidRPr="00DD4706">
                    <w:rPr>
                      <w:b/>
                      <w:bCs/>
                      <w:strike/>
                    </w:rPr>
                    <w:t> </w:t>
                  </w:r>
                  <w:r w:rsidRPr="00DD4706">
                    <w:rPr>
                      <w:strike/>
                    </w:rPr>
                    <w:t>pro střelivo s okrajovým zápalem, jejichž celková délka je menší než 28 cm.</w:t>
                  </w:r>
                </w:p>
                <w:p w:rsidR="00972824" w:rsidRPr="00DD4706" w:rsidRDefault="00972824" w:rsidP="00F20A42">
                  <w:pPr>
                    <w:jc w:val="both"/>
                    <w:rPr>
                      <w:strike/>
                    </w:rPr>
                  </w:pPr>
                  <w:r w:rsidRPr="00DD4706">
                    <w:rPr>
                      <w:strike/>
                    </w:rPr>
                    <w:t>4. Dlouhé poloautomatické palné zbraně, jejichž zásobník a nábojová komora mohou dohromady pojmout více než tři náboje.</w:t>
                  </w:r>
                </w:p>
                <w:p w:rsidR="00972824" w:rsidRPr="00DD4706" w:rsidRDefault="00972824" w:rsidP="00F20A42">
                  <w:pPr>
                    <w:jc w:val="both"/>
                    <w:rPr>
                      <w:strike/>
                    </w:rPr>
                  </w:pPr>
                  <w:r w:rsidRPr="00DD4706">
                    <w:rPr>
                      <w:strike/>
                    </w:rPr>
                    <w:t>5. Dlouhé poloautomatické palné zbraně, jejichž zásobník a nábojová komora nemohou dohromady pojmout více než tři náboje, jejichž podávací ústrojí je odnímatelné nebo u nichž není zaručeno, že nemohou být přeměněny běžnými nástroji na zbraně, jejichž zásobník a nábojová komora mohou dohromady pojmout více než tři náboje.</w:t>
                  </w:r>
                </w:p>
                <w:p w:rsidR="00972824" w:rsidRPr="00DD4706" w:rsidRDefault="00972824" w:rsidP="00F20A42">
                  <w:pPr>
                    <w:jc w:val="both"/>
                    <w:rPr>
                      <w:strike/>
                    </w:rPr>
                  </w:pPr>
                  <w:r w:rsidRPr="00DD4706">
                    <w:rPr>
                      <w:strike/>
                    </w:rPr>
                    <w:t>6. Dlouhé opakovací a poloautomatické palné zbraně</w:t>
                  </w:r>
                  <w:r w:rsidRPr="00DD4706">
                    <w:rPr>
                      <w:b/>
                      <w:bCs/>
                      <w:strike/>
                    </w:rPr>
                    <w:t> </w:t>
                  </w:r>
                  <w:r w:rsidRPr="00DD4706">
                    <w:rPr>
                      <w:strike/>
                    </w:rPr>
                    <w:t>s hladkým vývrtem hlavně, která nepřesahuje délku 60 centimetrů.</w:t>
                  </w:r>
                </w:p>
                <w:p w:rsidR="00972824" w:rsidRPr="00972824" w:rsidRDefault="00972824" w:rsidP="00F20A42">
                  <w:pPr>
                    <w:jc w:val="both"/>
                  </w:pPr>
                  <w:r w:rsidRPr="00DD4706">
                    <w:rPr>
                      <w:strike/>
                    </w:rPr>
                    <w:t>7. Civilní poloautomatické palné zbraně, které mají vzhled zbraní s automatickým mechanismem.</w:t>
                  </w:r>
                </w:p>
                <w:p w:rsidR="002844E0" w:rsidRDefault="002844E0" w:rsidP="00F20A42">
                  <w:pPr>
                    <w:jc w:val="both"/>
                    <w:rPr>
                      <w:b/>
                      <w:bCs/>
                      <w:i/>
                      <w:iCs/>
                    </w:rPr>
                  </w:pPr>
                </w:p>
                <w:p w:rsidR="00972824" w:rsidRPr="00972824" w:rsidRDefault="00972824" w:rsidP="00F20A42">
                  <w:pPr>
                    <w:jc w:val="both"/>
                    <w:rPr>
                      <w:b/>
                      <w:bCs/>
                    </w:rPr>
                  </w:pPr>
                  <w:r w:rsidRPr="00DD4706">
                    <w:rPr>
                      <w:b/>
                      <w:bCs/>
                      <w:i/>
                      <w:iCs/>
                      <w:sz w:val="28"/>
                    </w:rPr>
                    <w:t>Kategorie C –</w:t>
                  </w:r>
                  <w:r w:rsidRPr="00DD4706">
                    <w:rPr>
                      <w:b/>
                      <w:bCs/>
                      <w:sz w:val="28"/>
                    </w:rPr>
                    <w:t> </w:t>
                  </w:r>
                  <w:r w:rsidRPr="00DD4706">
                    <w:rPr>
                      <w:b/>
                      <w:bCs/>
                      <w:i/>
                      <w:iCs/>
                      <w:sz w:val="28"/>
                    </w:rPr>
                    <w:t>Palné zbraně podléhající ohlášení</w:t>
                  </w:r>
                </w:p>
                <w:p w:rsidR="00DD4706" w:rsidRPr="00D91F28" w:rsidRDefault="00DD4706" w:rsidP="00F20A42">
                  <w:pPr>
                    <w:jc w:val="both"/>
                    <w:rPr>
                      <w:b/>
                      <w:u w:val="single"/>
                    </w:rPr>
                  </w:pPr>
                  <w:r w:rsidRPr="00D91F28">
                    <w:rPr>
                      <w:b/>
                      <w:u w:val="single"/>
                    </w:rPr>
                    <w:t>1. Dlouhé opakovací palné zbraně jiné než uvedené v kategorii B bodě 7.</w:t>
                  </w:r>
                </w:p>
                <w:p w:rsidR="00DD4706" w:rsidRPr="00D91F28" w:rsidRDefault="00DD4706" w:rsidP="00F20A42">
                  <w:pPr>
                    <w:jc w:val="both"/>
                    <w:rPr>
                      <w:b/>
                      <w:u w:val="single"/>
                    </w:rPr>
                  </w:pPr>
                  <w:r w:rsidRPr="00D91F28">
                    <w:rPr>
                      <w:b/>
                      <w:u w:val="single"/>
                    </w:rPr>
                    <w:t>2. Dlouhé jednoranové palné zbraně s drážkovým vývrtem.</w:t>
                  </w:r>
                </w:p>
                <w:p w:rsidR="00DD4706" w:rsidRPr="00D91F28" w:rsidRDefault="00DD4706" w:rsidP="00F20A42">
                  <w:pPr>
                    <w:jc w:val="both"/>
                    <w:rPr>
                      <w:b/>
                      <w:u w:val="single"/>
                    </w:rPr>
                  </w:pPr>
                  <w:r w:rsidRPr="00D91F28">
                    <w:rPr>
                      <w:b/>
                      <w:u w:val="single"/>
                    </w:rPr>
                    <w:t>3. Dlouhé samonabíjecí palné zbraně jiné než uvedené v kategorii A nebo B.</w:t>
                  </w:r>
                </w:p>
                <w:p w:rsidR="00DD4706" w:rsidRPr="00D91F28" w:rsidRDefault="00DD4706" w:rsidP="00F20A42">
                  <w:pPr>
                    <w:jc w:val="both"/>
                    <w:rPr>
                      <w:b/>
                      <w:u w:val="single"/>
                    </w:rPr>
                  </w:pPr>
                  <w:r w:rsidRPr="00D91F28">
                    <w:rPr>
                      <w:b/>
                      <w:u w:val="single"/>
                    </w:rPr>
                    <w:t>4. Krátké jednoranové palné zbraně pro střelivo s okrajovým zápalem, jejichž celková délka není menší než 28 cm.</w:t>
                  </w:r>
                </w:p>
                <w:p w:rsidR="00DD4706" w:rsidRPr="00D91F28" w:rsidRDefault="00DD4706" w:rsidP="00F20A42">
                  <w:pPr>
                    <w:jc w:val="both"/>
                    <w:rPr>
                      <w:b/>
                      <w:u w:val="single"/>
                    </w:rPr>
                  </w:pPr>
                  <w:r w:rsidRPr="00D91F28">
                    <w:rPr>
                      <w:b/>
                      <w:u w:val="single"/>
                    </w:rPr>
                    <w:t>5. Jakákoli palná zbraň v této kategorii, která byla přeměněna ke střelbě s využitím nábojek nebo cvičných nábojů, dráždivých látek, jiných účinných látek nebo pyrotechnických nábojů či na salutní nebo akustickou zbraň.</w:t>
                  </w:r>
                </w:p>
                <w:p w:rsidR="00DD4706" w:rsidRPr="00D91F28" w:rsidRDefault="00DD4706" w:rsidP="00F20A42">
                  <w:pPr>
                    <w:jc w:val="both"/>
                    <w:rPr>
                      <w:b/>
                      <w:u w:val="single"/>
                    </w:rPr>
                  </w:pPr>
                  <w:r w:rsidRPr="00D91F28">
                    <w:rPr>
                      <w:b/>
                      <w:u w:val="single"/>
                    </w:rPr>
                    <w:t>6. Palné zbraně zařazené do kategorie A, B nebo C, které byly znehodnoceny v souladu s prováděcím nařízením (EU) 2015/2403.</w:t>
                  </w:r>
                </w:p>
                <w:p w:rsidR="00DD4706" w:rsidRDefault="00DD4706" w:rsidP="00F20A42">
                  <w:pPr>
                    <w:jc w:val="both"/>
                  </w:pPr>
                  <w:r w:rsidRPr="00D91F28">
                    <w:rPr>
                      <w:b/>
                      <w:u w:val="single"/>
                    </w:rPr>
                    <w:t>7. Dlouhé jednoranové palné zbraně s hladkým vývrtem hlavně uvedené na trh dne ... [15 měsíců po vstupu této pozměňující směrnice v platnost nebo později].</w:t>
                  </w:r>
                </w:p>
                <w:p w:rsidR="00972824" w:rsidRPr="00DD4706" w:rsidRDefault="00972824" w:rsidP="00F20A42">
                  <w:pPr>
                    <w:jc w:val="both"/>
                    <w:rPr>
                      <w:strike/>
                    </w:rPr>
                  </w:pPr>
                  <w:r w:rsidRPr="00DD4706">
                    <w:rPr>
                      <w:strike/>
                    </w:rPr>
                    <w:t>1. Opakovací dlouhé palné zbraně</w:t>
                  </w:r>
                  <w:r w:rsidRPr="00DD4706">
                    <w:rPr>
                      <w:b/>
                      <w:bCs/>
                      <w:strike/>
                    </w:rPr>
                    <w:t> </w:t>
                  </w:r>
                  <w:r w:rsidRPr="00DD4706">
                    <w:rPr>
                      <w:strike/>
                    </w:rPr>
                    <w:t>jiné než uvedené v kategorii B bodě 6.</w:t>
                  </w:r>
                </w:p>
                <w:p w:rsidR="00972824" w:rsidRPr="00DD4706" w:rsidRDefault="002844E0" w:rsidP="00F20A42">
                  <w:pPr>
                    <w:jc w:val="both"/>
                    <w:rPr>
                      <w:strike/>
                    </w:rPr>
                  </w:pPr>
                  <w:r w:rsidRPr="00DD4706">
                    <w:rPr>
                      <w:strike/>
                    </w:rPr>
                    <w:t xml:space="preserve">2. Dlouhé jednoranové </w:t>
                  </w:r>
                  <w:r w:rsidR="00972824" w:rsidRPr="00DD4706">
                    <w:rPr>
                      <w:strike/>
                    </w:rPr>
                    <w:t>palné zbraně</w:t>
                  </w:r>
                  <w:r w:rsidR="00972824" w:rsidRPr="00DD4706">
                    <w:rPr>
                      <w:b/>
                      <w:bCs/>
                      <w:strike/>
                    </w:rPr>
                    <w:t> </w:t>
                  </w:r>
                  <w:r w:rsidR="00972824" w:rsidRPr="00DD4706">
                    <w:rPr>
                      <w:strike/>
                    </w:rPr>
                    <w:t>s drátkovým vývrtem.</w:t>
                  </w:r>
                </w:p>
                <w:p w:rsidR="00972824" w:rsidRPr="00DD4706" w:rsidRDefault="00972824" w:rsidP="00F20A42">
                  <w:pPr>
                    <w:jc w:val="both"/>
                    <w:rPr>
                      <w:strike/>
                    </w:rPr>
                  </w:pPr>
                  <w:r w:rsidRPr="00DD4706">
                    <w:rPr>
                      <w:strike/>
                    </w:rPr>
                    <w:t>3. Poloautomatické dlouhé palné zbraně</w:t>
                  </w:r>
                  <w:r w:rsidRPr="00DD4706">
                    <w:rPr>
                      <w:b/>
                      <w:bCs/>
                      <w:strike/>
                    </w:rPr>
                    <w:t> </w:t>
                  </w:r>
                  <w:r w:rsidRPr="00DD4706">
                    <w:rPr>
                      <w:strike/>
                    </w:rPr>
                    <w:t>jiné než uvedené v kategorii B bodech 4 až 7.</w:t>
                  </w:r>
                </w:p>
                <w:p w:rsidR="00972824" w:rsidRPr="00972824" w:rsidRDefault="00972824" w:rsidP="00F20A42">
                  <w:pPr>
                    <w:jc w:val="both"/>
                  </w:pPr>
                  <w:r w:rsidRPr="00DD4706">
                    <w:rPr>
                      <w:strike/>
                    </w:rPr>
                    <w:t>4. Jednoranové krátké palné zbraně</w:t>
                  </w:r>
                  <w:r w:rsidRPr="00DD4706">
                    <w:rPr>
                      <w:b/>
                      <w:bCs/>
                      <w:strike/>
                    </w:rPr>
                    <w:t> </w:t>
                  </w:r>
                  <w:r w:rsidRPr="00DD4706">
                    <w:rPr>
                      <w:strike/>
                    </w:rPr>
                    <w:t>pro střelivo s okrajovým zápalem, jejichž celková délka se rovná nebo je větší než 28 centimetrů.</w:t>
                  </w:r>
                </w:p>
                <w:p w:rsidR="002844E0" w:rsidRDefault="002844E0" w:rsidP="00F20A42">
                  <w:pPr>
                    <w:jc w:val="both"/>
                    <w:rPr>
                      <w:b/>
                      <w:bCs/>
                      <w:i/>
                      <w:iCs/>
                    </w:rPr>
                  </w:pPr>
                </w:p>
                <w:p w:rsidR="00972824" w:rsidRPr="00D91F28" w:rsidRDefault="00972824" w:rsidP="00F20A42">
                  <w:pPr>
                    <w:jc w:val="both"/>
                    <w:rPr>
                      <w:b/>
                      <w:bCs/>
                      <w:strike/>
                      <w:sz w:val="28"/>
                    </w:rPr>
                  </w:pPr>
                  <w:r w:rsidRPr="00D91F28">
                    <w:rPr>
                      <w:b/>
                      <w:bCs/>
                      <w:i/>
                      <w:iCs/>
                      <w:strike/>
                      <w:sz w:val="28"/>
                    </w:rPr>
                    <w:t>Kategorie D –</w:t>
                  </w:r>
                  <w:r w:rsidRPr="00D91F28">
                    <w:rPr>
                      <w:b/>
                      <w:bCs/>
                      <w:strike/>
                      <w:sz w:val="28"/>
                    </w:rPr>
                    <w:t> </w:t>
                  </w:r>
                  <w:r w:rsidRPr="00D91F28">
                    <w:rPr>
                      <w:b/>
                      <w:bCs/>
                      <w:i/>
                      <w:iCs/>
                      <w:strike/>
                      <w:sz w:val="28"/>
                    </w:rPr>
                    <w:t>Jiné palné zbraně</w:t>
                  </w:r>
                </w:p>
                <w:p w:rsidR="00972824" w:rsidRPr="00D91F28" w:rsidRDefault="00972824" w:rsidP="00F20A42">
                  <w:pPr>
                    <w:jc w:val="both"/>
                    <w:rPr>
                      <w:strike/>
                    </w:rPr>
                  </w:pPr>
                  <w:r w:rsidRPr="00D91F28">
                    <w:rPr>
                      <w:strike/>
                    </w:rPr>
                    <w:t>Jednoranové dlouhé palné zbraně</w:t>
                  </w:r>
                  <w:r w:rsidRPr="00D91F28">
                    <w:rPr>
                      <w:b/>
                      <w:bCs/>
                      <w:strike/>
                    </w:rPr>
                    <w:t> </w:t>
                  </w:r>
                  <w:r w:rsidRPr="00D91F28">
                    <w:rPr>
                      <w:strike/>
                    </w:rPr>
                    <w:t>s hladkým vývrtem hlavně.</w:t>
                  </w:r>
                </w:p>
                <w:p w:rsidR="00225BF7" w:rsidRPr="00972824" w:rsidRDefault="00225BF7" w:rsidP="00F20A42">
                  <w:pPr>
                    <w:jc w:val="both"/>
                  </w:pPr>
                </w:p>
              </w:tc>
            </w:tr>
          </w:tbl>
          <w:p w:rsidR="00972824" w:rsidRPr="00972824" w:rsidRDefault="00972824" w:rsidP="00F20A42">
            <w:pPr>
              <w:jc w:val="both"/>
              <w:rPr>
                <w:vanish/>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8"/>
              <w:gridCol w:w="8486"/>
            </w:tblGrid>
            <w:tr w:rsidR="00972824" w:rsidRPr="00972824">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72824" w:rsidRPr="00D91F28" w:rsidRDefault="00972824" w:rsidP="00F20A42">
                  <w:pPr>
                    <w:jc w:val="both"/>
                    <w:rPr>
                      <w:b/>
                      <w:strike/>
                    </w:rPr>
                  </w:pPr>
                  <w:r w:rsidRPr="00D91F28">
                    <w:rPr>
                      <w:b/>
                      <w:strike/>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72824" w:rsidRPr="00D91F28" w:rsidRDefault="00972824" w:rsidP="00F20A42">
                  <w:pPr>
                    <w:jc w:val="both"/>
                    <w:rPr>
                      <w:strike/>
                    </w:rPr>
                  </w:pPr>
                  <w:r w:rsidRPr="00D91F28">
                    <w:rPr>
                      <w:strike/>
                    </w:rPr>
                    <w:t>Podstatné části těchto </w:t>
                  </w:r>
                  <w:r w:rsidR="002844E0" w:rsidRPr="00D91F28">
                    <w:rPr>
                      <w:strike/>
                    </w:rPr>
                    <w:t>p</w:t>
                  </w:r>
                  <w:r w:rsidRPr="00D91F28">
                    <w:rPr>
                      <w:strike/>
                    </w:rPr>
                    <w:t>alných zbraní:</w:t>
                  </w:r>
                </w:p>
                <w:p w:rsidR="00972824" w:rsidRPr="00D91F28" w:rsidRDefault="00972824" w:rsidP="00F20A42">
                  <w:pPr>
                    <w:jc w:val="both"/>
                    <w:rPr>
                      <w:strike/>
                    </w:rPr>
                  </w:pPr>
                  <w:r w:rsidRPr="00D91F28">
                    <w:rPr>
                      <w:strike/>
                    </w:rPr>
                    <w:t>Mechanismus závěru, nábojová komora a hlaveň palných zbraní</w:t>
                  </w:r>
                  <w:r w:rsidRPr="00D91F28">
                    <w:rPr>
                      <w:b/>
                      <w:bCs/>
                      <w:strike/>
                    </w:rPr>
                    <w:t> </w:t>
                  </w:r>
                  <w:r w:rsidRPr="00D91F28">
                    <w:rPr>
                      <w:strike/>
                    </w:rPr>
                    <w:t>jako oddělené předměty jsou zahrnuty do kategorie těch palných zbraní, kterých jsou nebo mají být součástí.</w:t>
                  </w:r>
                </w:p>
                <w:p w:rsidR="00225BF7" w:rsidRPr="00D91F28" w:rsidRDefault="00225BF7" w:rsidP="00F20A42">
                  <w:pPr>
                    <w:jc w:val="both"/>
                    <w:rPr>
                      <w:strike/>
                    </w:rPr>
                  </w:pPr>
                </w:p>
              </w:tc>
            </w:tr>
          </w:tbl>
          <w:p w:rsidR="00972824" w:rsidRPr="00972824" w:rsidRDefault="00972824" w:rsidP="00F20A42">
            <w:pPr>
              <w:jc w:val="both"/>
            </w:pPr>
          </w:p>
        </w:tc>
      </w:tr>
    </w:tbl>
    <w:p w:rsidR="00972824" w:rsidRPr="00972824" w:rsidRDefault="00972824" w:rsidP="00F20A42">
      <w:pPr>
        <w:jc w:val="both"/>
        <w:rPr>
          <w:vanish/>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0"/>
        <w:gridCol w:w="8837"/>
      </w:tblGrid>
      <w:tr w:rsidR="00972824" w:rsidRPr="00972824" w:rsidTr="00972824">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72824" w:rsidRPr="00587ED3" w:rsidRDefault="00972824" w:rsidP="00F20A42">
            <w:pPr>
              <w:jc w:val="both"/>
              <w:rPr>
                <w:b/>
              </w:rPr>
            </w:pPr>
            <w:r w:rsidRPr="00587ED3">
              <w:rPr>
                <w:b/>
              </w:rPr>
              <w:t>III.</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72824" w:rsidRDefault="00972824" w:rsidP="00F20A42">
            <w:pPr>
              <w:jc w:val="both"/>
            </w:pPr>
            <w:r w:rsidRPr="00972824">
              <w:t>Pro účely této přílohy se do definice palných zbraní</w:t>
            </w:r>
            <w:r w:rsidRPr="00972824">
              <w:rPr>
                <w:b/>
                <w:bCs/>
              </w:rPr>
              <w:t> </w:t>
            </w:r>
            <w:r w:rsidRPr="00972824">
              <w:t>nezahrnují předměty, které odpovídají definici, ale:</w:t>
            </w:r>
          </w:p>
          <w:p w:rsidR="00D91F28" w:rsidRPr="00D91F28" w:rsidRDefault="00D91F28" w:rsidP="00F20A42">
            <w:pPr>
              <w:jc w:val="both"/>
              <w:rPr>
                <w:b/>
                <w:u w:val="single"/>
              </w:rPr>
            </w:pPr>
            <w:r w:rsidRPr="00D91F28">
              <w:rPr>
                <w:b/>
                <w:u w:val="single"/>
              </w:rPr>
              <w:t>a) slouží jako poplašné nebo signální zbraně nebo jsou určeny k záchraně života, porážce zvířat, rybolovu harpunou nebo k průmyslovému či technickému využití za podmínky, že mohou být použity pouze pro stanovený účel;</w:t>
            </w:r>
          </w:p>
          <w:p w:rsidR="00D91F28" w:rsidRPr="00D91F28" w:rsidRDefault="00D91F28" w:rsidP="00F20A42">
            <w:pPr>
              <w:jc w:val="both"/>
              <w:rPr>
                <w:b/>
                <w:u w:val="single"/>
              </w:rPr>
            </w:pPr>
            <w:r w:rsidRPr="00D91F28">
              <w:rPr>
                <w:b/>
                <w:u w:val="single"/>
              </w:rPr>
              <w:t xml:space="preserve"> b) považují se za historické zbraně, pokud nebyly zařazeny do kategorií stanovených v části II a podléhají vnitrostátním právním předpisům.;</w:t>
            </w:r>
          </w:p>
          <w:p w:rsidR="00D91F28" w:rsidRPr="00972824" w:rsidRDefault="00D91F28" w:rsidP="00F20A42">
            <w:pPr>
              <w:jc w:val="both"/>
            </w:pPr>
            <w:r w:rsidRPr="00D91F28">
              <w:rPr>
                <w:b/>
                <w:u w:val="single"/>
              </w:rPr>
              <w:t>Do dosažení koordinace na úrovni Unie mohou členské státy pro palné zbraně uvedené v této části uplatňovat své vnitrostátní předpisy.</w:t>
            </w:r>
          </w:p>
          <w:p w:rsidR="00972824" w:rsidRPr="00D91F28" w:rsidRDefault="00972824" w:rsidP="00F20A42">
            <w:pPr>
              <w:jc w:val="both"/>
              <w:rPr>
                <w:strike/>
              </w:rPr>
            </w:pPr>
            <w:r w:rsidRPr="00D91F28">
              <w:rPr>
                <w:strike/>
              </w:rPr>
              <w:t>a) byly trvale znehodnoceny způsobem, který zajišťuje, že všechny hlavní části palné zbraně</w:t>
            </w:r>
            <w:r w:rsidRPr="00D91F28">
              <w:rPr>
                <w:b/>
                <w:bCs/>
                <w:strike/>
              </w:rPr>
              <w:t> </w:t>
            </w:r>
            <w:r w:rsidRPr="00D91F28">
              <w:rPr>
                <w:strike/>
              </w:rPr>
              <w:t>jsou trvale nepoužitelné a není možné je jakkoli odstranit, nahradit nebo upravit za účelem uschopnění ke střelbě;</w:t>
            </w:r>
          </w:p>
          <w:p w:rsidR="00972824" w:rsidRPr="00D91F28" w:rsidRDefault="00972824" w:rsidP="00F20A42">
            <w:pPr>
              <w:jc w:val="both"/>
              <w:rPr>
                <w:strike/>
              </w:rPr>
            </w:pPr>
            <w:r w:rsidRPr="00D91F28">
              <w:rPr>
                <w:strike/>
              </w:rPr>
              <w:t>b) slouží pro účely poplachu, signalizace, záchrany života, pro porážku zvířat, k rybolovu harpunou nebo jsou určeny pro průmyslové nebo technické využití za podmínky, že mohou být použity pouze pro stanovený účel;</w:t>
            </w:r>
          </w:p>
          <w:p w:rsidR="00972824" w:rsidRPr="00D91F28" w:rsidRDefault="00972824" w:rsidP="00F20A42">
            <w:pPr>
              <w:jc w:val="both"/>
              <w:rPr>
                <w:strike/>
              </w:rPr>
            </w:pPr>
            <w:r w:rsidRPr="00D91F28">
              <w:rPr>
                <w:strike/>
              </w:rPr>
              <w:t>c) považují se za historické zbraně nebo jejich napodobeniny, pokud nebyly zařazeny do předchozích kategorií a podléhají vnitrostátním právním předpisům.</w:t>
            </w:r>
          </w:p>
          <w:p w:rsidR="00972824" w:rsidRPr="00D91F28" w:rsidRDefault="00972824" w:rsidP="00F20A42">
            <w:pPr>
              <w:jc w:val="both"/>
              <w:rPr>
                <w:strike/>
              </w:rPr>
            </w:pPr>
            <w:r w:rsidRPr="00D91F28">
              <w:rPr>
                <w:strike/>
              </w:rPr>
              <w:t>Členské státy přijmou veškerá opatření, aby znehodnocení uvedené v prvním pododstavci písm. a) zkontroloval příslušný orgán s cílem ověř</w:t>
            </w:r>
            <w:r w:rsidR="00225BF7" w:rsidRPr="00D91F28">
              <w:rPr>
                <w:strike/>
              </w:rPr>
              <w:t xml:space="preserve">it, zda je v jeho důsledku tato </w:t>
            </w:r>
            <w:r w:rsidRPr="00D91F28">
              <w:rPr>
                <w:strike/>
              </w:rPr>
              <w:t>palná zbraň</w:t>
            </w:r>
            <w:r w:rsidRPr="00D91F28">
              <w:rPr>
                <w:b/>
                <w:bCs/>
                <w:strike/>
              </w:rPr>
              <w:t> </w:t>
            </w:r>
            <w:r w:rsidRPr="00D91F28">
              <w:rPr>
                <w:strike/>
              </w:rPr>
              <w:t>nevratně neschopná střelby. Členské státy v rámci uvedené kontroly stanoví vydání osvědčení nebo dokladu, který potvrzuje znehodnocení palné zbraně, nebo zřetelné odpovídající označení takové zbraně. Komise vydá postupem podle čl. 13a odst. 2 společné pokyny o standardech a technikách znehodnocení, aby bylo zajištěno, že znehodnocené zbraně jsou nevratně neschopné střelby.</w:t>
            </w:r>
          </w:p>
          <w:p w:rsidR="00972824" w:rsidRDefault="00972824" w:rsidP="00F20A42">
            <w:pPr>
              <w:jc w:val="both"/>
            </w:pPr>
            <w:r w:rsidRPr="00D91F28">
              <w:rPr>
                <w:strike/>
              </w:rPr>
              <w:t>Až do dosažení koordinace na úrovni Společenství mohou členské státy pro palné zbraně</w:t>
            </w:r>
            <w:r w:rsidRPr="00D91F28">
              <w:rPr>
                <w:b/>
                <w:bCs/>
                <w:strike/>
              </w:rPr>
              <w:t> </w:t>
            </w:r>
            <w:r w:rsidRPr="00D91F28">
              <w:rPr>
                <w:strike/>
              </w:rPr>
              <w:t>uvedené v tomto bodě uplatňovat své vnitrostátní předpisy.</w:t>
            </w:r>
          </w:p>
          <w:p w:rsidR="00225BF7" w:rsidRPr="00972824" w:rsidRDefault="00225BF7" w:rsidP="00F20A42">
            <w:pPr>
              <w:jc w:val="both"/>
            </w:pPr>
          </w:p>
        </w:tc>
      </w:tr>
    </w:tbl>
    <w:p w:rsidR="00972824" w:rsidRPr="00972824" w:rsidRDefault="00972824" w:rsidP="00F20A42">
      <w:pPr>
        <w:jc w:val="both"/>
        <w:rPr>
          <w:vanish/>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3"/>
        <w:gridCol w:w="8824"/>
      </w:tblGrid>
      <w:tr w:rsidR="00972824" w:rsidRPr="00972824" w:rsidTr="00972824">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72824" w:rsidRPr="00587ED3" w:rsidRDefault="00972824" w:rsidP="00F20A42">
            <w:pPr>
              <w:jc w:val="both"/>
              <w:rPr>
                <w:b/>
              </w:rPr>
            </w:pPr>
            <w:r w:rsidRPr="00587ED3">
              <w:rPr>
                <w:b/>
              </w:rPr>
              <w:t>IV.</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972824" w:rsidRPr="00972824" w:rsidRDefault="00972824" w:rsidP="00F20A42">
            <w:pPr>
              <w:jc w:val="both"/>
            </w:pPr>
            <w:r w:rsidRPr="00972824">
              <w:t>Pro účely této přílohy se rozumí:</w:t>
            </w:r>
          </w:p>
          <w:p w:rsidR="00972824" w:rsidRPr="00972824" w:rsidRDefault="00972824" w:rsidP="00F20A42">
            <w:pPr>
              <w:jc w:val="both"/>
            </w:pPr>
            <w:r w:rsidRPr="00972824">
              <w:t>a) „krátkou palnou zbraní“ palná zbraň</w:t>
            </w:r>
            <w:r w:rsidRPr="00972824">
              <w:rPr>
                <w:b/>
                <w:bCs/>
              </w:rPr>
              <w:t> </w:t>
            </w:r>
            <w:r w:rsidRPr="00972824">
              <w:t>s hlavní nepřesahující 30 centimetrů nebo jejíž celková délka nepřesahuje 60 centimetrů;</w:t>
            </w:r>
          </w:p>
          <w:p w:rsidR="00972824" w:rsidRPr="00972824" w:rsidRDefault="00972824" w:rsidP="00F20A42">
            <w:pPr>
              <w:jc w:val="both"/>
            </w:pPr>
            <w:r w:rsidRPr="00972824">
              <w:t>b) „dlouhou palnou zbraní“ jakákoli jiná palná zbraň</w:t>
            </w:r>
            <w:r w:rsidRPr="00972824">
              <w:rPr>
                <w:b/>
                <w:bCs/>
              </w:rPr>
              <w:t> </w:t>
            </w:r>
            <w:r w:rsidRPr="00972824">
              <w:t>než krátká palná zbraň;</w:t>
            </w:r>
          </w:p>
          <w:p w:rsidR="00972824" w:rsidRPr="00972824" w:rsidRDefault="00972824" w:rsidP="00F20A42">
            <w:pPr>
              <w:jc w:val="both"/>
            </w:pPr>
            <w:r w:rsidRPr="00972824">
              <w:t>c) „automatickou zbraní“ palná zbraň, jež se automaticky znovu nabíjí pokaždé, když je vypálena jedna střela, a může jedním stiskem spouště vypálit dávku více střel;</w:t>
            </w:r>
          </w:p>
          <w:p w:rsidR="00972824" w:rsidRPr="00972824" w:rsidRDefault="00972824" w:rsidP="00F20A42">
            <w:pPr>
              <w:jc w:val="both"/>
            </w:pPr>
            <w:r w:rsidRPr="00972824">
              <w:t>d) „poloautomatickou zbraní“ </w:t>
            </w:r>
            <w:hyperlink r:id="rId11" w:tooltip="31991L0477R(05): REPLACED" w:history="1"/>
            <w:r w:rsidR="00225BF7" w:rsidRPr="00972824">
              <w:t xml:space="preserve"> </w:t>
            </w:r>
            <w:r w:rsidRPr="00972824">
              <w:t>palná zbraň, která se po každé vypálené střele automaticky znovu nabije a může jedním stiskem spouště vypálit pouze jednu střelu;</w:t>
            </w:r>
          </w:p>
          <w:p w:rsidR="00972824" w:rsidRPr="00972824" w:rsidRDefault="00972824" w:rsidP="00F20A42">
            <w:pPr>
              <w:jc w:val="both"/>
            </w:pPr>
            <w:r w:rsidRPr="00972824">
              <w:t>e) „opakovací zbraní“ palná zbraň, která je po každé vypálené střele ručně znovu nabita tak, že se do hlavně zavede náboj vyjmutý ze zásobníku a přemístěný pomocí mechanismu;</w:t>
            </w:r>
          </w:p>
          <w:p w:rsidR="00972824" w:rsidRPr="00972824" w:rsidRDefault="00225BF7" w:rsidP="00F20A42">
            <w:pPr>
              <w:jc w:val="both"/>
            </w:pPr>
            <w:r>
              <w:t>f) „jednoranovou zbraní“</w:t>
            </w:r>
            <w:r w:rsidRPr="00972824">
              <w:t xml:space="preserve"> </w:t>
            </w:r>
            <w:r w:rsidR="00972824" w:rsidRPr="00972824">
              <w:t>palná zbraň</w:t>
            </w:r>
            <w:r w:rsidR="00972824" w:rsidRPr="00972824">
              <w:rPr>
                <w:b/>
                <w:bCs/>
              </w:rPr>
              <w:t> </w:t>
            </w:r>
            <w:r w:rsidR="00972824" w:rsidRPr="00972824">
              <w:t>bez zásobníku, která se nabíjí před každým výstřelem ručním zavedením náboje do nábojové komory nebo do prostoru k tomu určenému při ústí hlavně;</w:t>
            </w:r>
          </w:p>
          <w:p w:rsidR="00972824" w:rsidRPr="00972824" w:rsidRDefault="00972824" w:rsidP="00F20A42">
            <w:pPr>
              <w:jc w:val="both"/>
            </w:pPr>
            <w:r w:rsidRPr="00972824">
              <w:t>g) „střelivem s průbojnými střelami“ střelivo pro vojenské účely, s plášťovou střelou a průbojným tvrdým jádrem;</w:t>
            </w:r>
          </w:p>
          <w:p w:rsidR="00972824" w:rsidRPr="00972824" w:rsidRDefault="00972824" w:rsidP="00F20A42">
            <w:pPr>
              <w:jc w:val="both"/>
            </w:pPr>
            <w:r w:rsidRPr="00972824">
              <w:t>h) „střelivem s výbušnými střelami“ střelivo pro vojenské účely se střelou obsahující nálož, která po nárazu vybuchne;</w:t>
            </w:r>
          </w:p>
          <w:p w:rsidR="00972824" w:rsidRPr="00972824" w:rsidRDefault="00972824" w:rsidP="00F20A42">
            <w:pPr>
              <w:jc w:val="both"/>
            </w:pPr>
            <w:r w:rsidRPr="00972824">
              <w:t>i) „střelivem se zápalnými střelami“ střelivo k vojenským účelům se střelou obsahující chemickou směs, která se při styku se vzduchem nebo po nárazu vznítí.</w:t>
            </w:r>
          </w:p>
        </w:tc>
      </w:tr>
    </w:tbl>
    <w:p w:rsidR="00972824" w:rsidRPr="00972824" w:rsidRDefault="00972824" w:rsidP="00972824"/>
    <w:p w:rsidR="00972824" w:rsidRPr="00972824" w:rsidRDefault="00A078A8" w:rsidP="00972824">
      <w:r>
        <w:pict>
          <v:rect id="_x0000_i1026" style="width:73.4pt;height:.75pt" o:hrpct="0" o:hralign="center" o:hrstd="t" o:hrnoshade="t" o:hr="t" fillcolor="black" stroked="f"/>
        </w:pict>
      </w:r>
    </w:p>
    <w:p w:rsidR="00972824" w:rsidRPr="00972824" w:rsidRDefault="00972824" w:rsidP="00972824"/>
    <w:p w:rsidR="00225BF7" w:rsidRDefault="00225BF7">
      <w:pPr>
        <w:rPr>
          <w:b/>
          <w:i/>
          <w:iCs/>
        </w:rPr>
      </w:pPr>
      <w:r>
        <w:rPr>
          <w:b/>
          <w:i/>
          <w:iCs/>
        </w:rPr>
        <w:br w:type="page"/>
      </w:r>
    </w:p>
    <w:p w:rsidR="00972824" w:rsidRPr="00225BF7" w:rsidRDefault="00972824" w:rsidP="00F20A42">
      <w:pPr>
        <w:jc w:val="both"/>
        <w:rPr>
          <w:b/>
          <w:i/>
          <w:iCs/>
        </w:rPr>
      </w:pPr>
      <w:r w:rsidRPr="00225BF7">
        <w:rPr>
          <w:b/>
          <w:i/>
          <w:iCs/>
        </w:rPr>
        <w:t>PŘÍLOHA II</w:t>
      </w:r>
    </w:p>
    <w:p w:rsidR="00972824" w:rsidRPr="00972824" w:rsidRDefault="00972824" w:rsidP="00F20A42">
      <w:pPr>
        <w:jc w:val="both"/>
        <w:rPr>
          <w:b/>
          <w:bCs/>
        </w:rPr>
      </w:pPr>
      <w:r w:rsidRPr="00972824">
        <w:rPr>
          <w:b/>
          <w:bCs/>
        </w:rPr>
        <w:t>EVROPSKÝ ZBROJNÍ PAS</w:t>
      </w:r>
    </w:p>
    <w:p w:rsidR="00972824" w:rsidRPr="00972824" w:rsidRDefault="00972824" w:rsidP="00F20A42">
      <w:pPr>
        <w:jc w:val="both"/>
      </w:pPr>
      <w:r w:rsidRPr="00972824">
        <w:t>Pas musí obsahovat tyto části:</w:t>
      </w:r>
    </w:p>
    <w:p w:rsidR="00972824" w:rsidRPr="00972824" w:rsidRDefault="00972824" w:rsidP="00F20A42">
      <w:pPr>
        <w:jc w:val="both"/>
      </w:pPr>
      <w:r w:rsidRPr="00972824">
        <w:t>a) identifikaci držitele;</w:t>
      </w:r>
    </w:p>
    <w:p w:rsidR="00972824" w:rsidRPr="00972824" w:rsidRDefault="00972824" w:rsidP="00F20A42">
      <w:pPr>
        <w:jc w:val="both"/>
      </w:pPr>
      <w:r w:rsidRPr="00972824">
        <w:t>b) identifikaci palné zbraně</w:t>
      </w:r>
      <w:r w:rsidRPr="00972824">
        <w:rPr>
          <w:b/>
          <w:bCs/>
        </w:rPr>
        <w:t> </w:t>
      </w:r>
      <w:r w:rsidRPr="00972824">
        <w:t>nebo palných zbraní, včetně poznámky o kategorii podle této směrnice;</w:t>
      </w:r>
    </w:p>
    <w:p w:rsidR="00972824" w:rsidRPr="00972824" w:rsidRDefault="00972824" w:rsidP="00F20A42">
      <w:pPr>
        <w:jc w:val="both"/>
      </w:pPr>
      <w:r w:rsidRPr="00972824">
        <w:t>c) dobu platnosti pasu;</w:t>
      </w:r>
    </w:p>
    <w:p w:rsidR="00972824" w:rsidRPr="00972824" w:rsidRDefault="00972824" w:rsidP="00F20A42">
      <w:pPr>
        <w:jc w:val="both"/>
      </w:pPr>
      <w:r w:rsidRPr="00972824">
        <w:t>d) část vyhrazenou záznamům členského státu, který pas vydal (druh a odkazy povolení, atd.);</w:t>
      </w:r>
    </w:p>
    <w:p w:rsidR="00972824" w:rsidRPr="00972824" w:rsidRDefault="00972824" w:rsidP="00F20A42">
      <w:pPr>
        <w:jc w:val="both"/>
      </w:pPr>
      <w:r w:rsidRPr="00972824">
        <w:t>e) část vyhrazenou pro záznamy ostatních členských států (povolení vstupu, atd.);</w:t>
      </w:r>
    </w:p>
    <w:p w:rsidR="00972824" w:rsidRPr="00972824" w:rsidRDefault="00972824" w:rsidP="00F20A42">
      <w:pPr>
        <w:jc w:val="both"/>
      </w:pPr>
      <w:r w:rsidRPr="00972824">
        <w:t>f) poznámku:</w:t>
      </w:r>
    </w:p>
    <w:p w:rsidR="00D91F28" w:rsidRPr="00D91F28" w:rsidRDefault="00D91F28" w:rsidP="00F20A42">
      <w:pPr>
        <w:jc w:val="both"/>
        <w:rPr>
          <w:b/>
          <w:u w:val="single"/>
        </w:rPr>
      </w:pPr>
      <w:r w:rsidRPr="00D91F28">
        <w:rPr>
          <w:b/>
          <w:u w:val="single"/>
        </w:rPr>
        <w:t>„Právo cestovat do jiného členského státu s jednou nebo více palnými zbraněmi zařazenými do kategorie A, B nebo C uvedenými v tomto pasu podléhá jednomu nebo několika předchozím odpovídajícím povolením navštíveného členského státu. Tato povolení mohou být zaznamenána v pasu.</w:t>
      </w:r>
    </w:p>
    <w:p w:rsidR="00D91F28" w:rsidRPr="00D91F28" w:rsidRDefault="00D91F28" w:rsidP="00F20A42">
      <w:pPr>
        <w:jc w:val="both"/>
        <w:rPr>
          <w:b/>
          <w:u w:val="single"/>
        </w:rPr>
      </w:pPr>
      <w:r w:rsidRPr="00D91F28">
        <w:rPr>
          <w:b/>
          <w:u w:val="single"/>
        </w:rPr>
        <w:t>Výše uvedené předchozí povolení není v zásadě nezbytné pro cesty s palnou zbraní zařazenou do kategorie C za účelem lovu nebo rekonstrukcí historických událostí nebo s palnou zbraní zařazenou do kategorie A, B nebo C za účelem sportovní střelby za podmínky, že je cestující držitelem zbrojního pasu a může prokázat důvod cesty. “</w:t>
      </w:r>
    </w:p>
    <w:p w:rsidR="00D91F28" w:rsidRPr="00D91F28" w:rsidRDefault="00D91F28" w:rsidP="00F20A42">
      <w:pPr>
        <w:jc w:val="both"/>
        <w:rPr>
          <w:b/>
          <w:u w:val="single"/>
        </w:rPr>
      </w:pPr>
      <w:r w:rsidRPr="00D91F28">
        <w:rPr>
          <w:b/>
          <w:u w:val="single"/>
        </w:rPr>
        <w:t>V případě, kdy členský stát uvědomil ostatní členské státy v souladu s čl. 8 odst. 3, že držení některých palných zbraní zařazených do kategorií B nebo C je zakázáno nebo podléhá povolení, doplní se jedna z těchto poznámek: "</w:t>
      </w:r>
    </w:p>
    <w:p w:rsidR="00D91F28" w:rsidRPr="00D91F28" w:rsidRDefault="00D91F28" w:rsidP="00F20A42">
      <w:pPr>
        <w:jc w:val="both"/>
        <w:rPr>
          <w:b/>
          <w:u w:val="single"/>
        </w:rPr>
      </w:pPr>
      <w:r w:rsidRPr="00D91F28">
        <w:rPr>
          <w:b/>
          <w:u w:val="single"/>
        </w:rPr>
        <w:t>„Cesta do… (dotčený stát/dotčené státy) se zbraní… (identifikace zbraně) je zakázána.“</w:t>
      </w:r>
    </w:p>
    <w:p w:rsidR="00D91F28" w:rsidRDefault="00D91F28" w:rsidP="00F20A42">
      <w:pPr>
        <w:jc w:val="both"/>
      </w:pPr>
      <w:r w:rsidRPr="00D91F28">
        <w:rPr>
          <w:b/>
          <w:u w:val="single"/>
        </w:rPr>
        <w:t>„Cesta do… (dotčený stát/dotčené státy) se zbraní… (identifikace zbraně) podléhá povolení.“.</w:t>
      </w:r>
    </w:p>
    <w:p w:rsidR="00972824" w:rsidRPr="00D91F28" w:rsidRDefault="00972824" w:rsidP="00F20A42">
      <w:pPr>
        <w:jc w:val="both"/>
        <w:rPr>
          <w:strike/>
        </w:rPr>
      </w:pPr>
      <w:r w:rsidRPr="00D91F28">
        <w:rPr>
          <w:strike/>
        </w:rPr>
        <w:t>„Právo cestovat do jiného členského státu s jednou nebo více zbraněmi kategorie B, C nebo D uvedenými v tomto pasu podléhá jednomu nebo několika předchozím povolením navštíveného členského státu. Toto nebo tato povolení mohou být v pasu zaznamenána.</w:t>
      </w:r>
    </w:p>
    <w:p w:rsidR="00972824" w:rsidRPr="00D91F28" w:rsidRDefault="00972824" w:rsidP="00F20A42">
      <w:pPr>
        <w:jc w:val="both"/>
        <w:rPr>
          <w:strike/>
        </w:rPr>
      </w:pPr>
      <w:r w:rsidRPr="00D91F28">
        <w:rPr>
          <w:strike/>
        </w:rPr>
        <w:t>Předchozí povolení není v zásadě nezbytné pro cesty se zbraní kategorie C nebo D určené pro lov nebo se zbraní kategorie B, C nebo D pro sportovní střelbu za podmínky, že je cestující držitelem zbrojního pasu a může prokázat důvod cesty.“</w:t>
      </w:r>
    </w:p>
    <w:p w:rsidR="00972824" w:rsidRPr="00D91F28" w:rsidRDefault="00972824" w:rsidP="00F20A42">
      <w:pPr>
        <w:jc w:val="both"/>
        <w:rPr>
          <w:strike/>
        </w:rPr>
      </w:pPr>
      <w:r w:rsidRPr="00D91F28">
        <w:rPr>
          <w:strike/>
        </w:rPr>
        <w:t>V případě, kdy členský stát informoval ostatní členské státy v souladu s čl. 8 odst. 3, že držení některých palných zbraní</w:t>
      </w:r>
      <w:r w:rsidRPr="00D91F28">
        <w:rPr>
          <w:b/>
          <w:bCs/>
          <w:strike/>
        </w:rPr>
        <w:t> </w:t>
      </w:r>
      <w:r w:rsidRPr="00D91F28">
        <w:rPr>
          <w:strike/>
        </w:rPr>
        <w:t>kategorií B, C nebo D je zakázáno nebo podléhá povolení, doplní se jedna z těchto poznámek:</w:t>
      </w:r>
    </w:p>
    <w:p w:rsidR="00972824" w:rsidRPr="00D91F28" w:rsidRDefault="00972824" w:rsidP="00F20A42">
      <w:pPr>
        <w:jc w:val="both"/>
        <w:rPr>
          <w:strike/>
        </w:rPr>
      </w:pPr>
      <w:r w:rsidRPr="00D91F28">
        <w:rPr>
          <w:strike/>
        </w:rPr>
        <w:t>„Cesta do… (dotyčný stát/dotyčné státy) se zbraní… (identifikace zbraně) je zakázána.“</w:t>
      </w:r>
    </w:p>
    <w:p w:rsidR="00972824" w:rsidRPr="00972824" w:rsidRDefault="00972824" w:rsidP="00F20A42">
      <w:pPr>
        <w:jc w:val="both"/>
      </w:pPr>
      <w:r w:rsidRPr="00D91F28">
        <w:rPr>
          <w:strike/>
        </w:rPr>
        <w:t>„Cesta do… (dotyčný stát/dotyčné státy) se zbraní… (identifikace zbraně) podléhá povolení.“</w:t>
      </w:r>
      <w:r w:rsidR="00A078A8">
        <w:pict>
          <v:rect id="_x0000_i1027" style="width:146.75pt;height:.75pt" o:hrpct="0" o:hrstd="t" o:hrnoshade="t" o:hr="t" fillcolor="black" stroked="f"/>
        </w:pict>
      </w:r>
    </w:p>
    <w:sectPr w:rsidR="00972824" w:rsidRPr="0097282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8A8" w:rsidRDefault="00A078A8" w:rsidP="00225BF7">
      <w:pPr>
        <w:spacing w:after="0" w:line="240" w:lineRule="auto"/>
      </w:pPr>
      <w:r>
        <w:separator/>
      </w:r>
    </w:p>
  </w:endnote>
  <w:endnote w:type="continuationSeparator" w:id="0">
    <w:p w:rsidR="00A078A8" w:rsidRDefault="00A078A8" w:rsidP="0022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1134"/>
      <w:docPartObj>
        <w:docPartGallery w:val="Page Numbers (Bottom of Page)"/>
        <w:docPartUnique/>
      </w:docPartObj>
    </w:sdtPr>
    <w:sdtEndPr/>
    <w:sdtContent>
      <w:p w:rsidR="008C505C" w:rsidRDefault="008C505C">
        <w:pPr>
          <w:pStyle w:val="Zpat"/>
          <w:jc w:val="center"/>
        </w:pPr>
        <w:r>
          <w:fldChar w:fldCharType="begin"/>
        </w:r>
        <w:r>
          <w:instrText>PAGE   \* MERGEFORMAT</w:instrText>
        </w:r>
        <w:r>
          <w:fldChar w:fldCharType="separate"/>
        </w:r>
        <w:r w:rsidR="005A1CB6">
          <w:rPr>
            <w:noProof/>
          </w:rPr>
          <w:t>4</w:t>
        </w:r>
        <w:r>
          <w:fldChar w:fldCharType="end"/>
        </w:r>
      </w:p>
    </w:sdtContent>
  </w:sdt>
  <w:p w:rsidR="008C505C" w:rsidRDefault="008C50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8A8" w:rsidRDefault="00A078A8" w:rsidP="00225BF7">
      <w:pPr>
        <w:spacing w:after="0" w:line="240" w:lineRule="auto"/>
      </w:pPr>
      <w:r>
        <w:separator/>
      </w:r>
    </w:p>
  </w:footnote>
  <w:footnote w:type="continuationSeparator" w:id="0">
    <w:p w:rsidR="00A078A8" w:rsidRDefault="00A078A8" w:rsidP="00225BF7">
      <w:pPr>
        <w:spacing w:after="0" w:line="240" w:lineRule="auto"/>
      </w:pPr>
      <w:r>
        <w:continuationSeparator/>
      </w:r>
    </w:p>
  </w:footnote>
  <w:footnote w:id="1">
    <w:p w:rsidR="008C505C" w:rsidRDefault="008C505C" w:rsidP="00F20A42">
      <w:pPr>
        <w:pStyle w:val="Textpoznpodarou"/>
        <w:jc w:val="both"/>
      </w:pPr>
      <w:r>
        <w:rPr>
          <w:rStyle w:val="Znakapoznpodarou"/>
        </w:rPr>
        <w:footnoteRef/>
      </w:r>
      <w:r>
        <w:t xml:space="preserve"> Zpracováno MV ČR podle </w:t>
      </w:r>
      <w:r w:rsidRPr="001C542F">
        <w:t>Legislativní</w:t>
      </w:r>
      <w:r>
        <w:t>ho</w:t>
      </w:r>
      <w:r w:rsidRPr="001C542F">
        <w:t xml:space="preserve"> usnesení Evropského parlamentu ze dne 14. března 2017 o návrhu směrnice Evropského parlamentu a Rady, kterou se mění směrnice Rady 91/477/EHS o kontrole nabývání a držení zbraní</w:t>
      </w:r>
      <w:r>
        <w:t xml:space="preserve">, dostupného na </w:t>
      </w:r>
      <w:hyperlink r:id="rId1" w:history="1">
        <w:r w:rsidRPr="0011170F">
          <w:rPr>
            <w:rStyle w:val="Hypertextovodkaz"/>
          </w:rPr>
          <w:t>http://www.europarl.europa.eu/sides/getDoc.do?pubRef=-//EP//TEXT+TA+P8-TA-2017-0068+0+DOC+XML+V0//CS</w:t>
        </w:r>
      </w:hyperlink>
      <w:r>
        <w:t xml:space="preserve">. </w:t>
      </w:r>
    </w:p>
  </w:footnote>
  <w:footnote w:id="2">
    <w:p w:rsidR="008C505C" w:rsidRPr="00F422B3" w:rsidRDefault="008C505C" w:rsidP="00F20A42">
      <w:pPr>
        <w:pStyle w:val="Textpoznpodarou"/>
        <w:jc w:val="both"/>
        <w:rPr>
          <w:b/>
          <w:u w:val="single"/>
        </w:rPr>
      </w:pPr>
      <w:r w:rsidRPr="00F422B3">
        <w:rPr>
          <w:rStyle w:val="Znakapoznpodarou"/>
          <w:b/>
          <w:u w:val="single"/>
        </w:rPr>
        <w:footnoteRef/>
      </w:r>
      <w:r w:rsidRPr="00F422B3">
        <w:rPr>
          <w:b/>
          <w:u w:val="single"/>
        </w:rPr>
        <w:t xml:space="preserve"> Směrnice Evropského parlamentu a Rady 2009/43/ES ze dne 6. května 2009 o zjednodušení podmínek transferů produktů pro obranné účely uvnitř Společenství (Úř. věst. L 146, 10.6.2009. s. 1).</w:t>
      </w:r>
    </w:p>
  </w:footnote>
  <w:footnote w:id="3">
    <w:p w:rsidR="008C505C" w:rsidRPr="00C12B67" w:rsidRDefault="008C505C" w:rsidP="00F20A42">
      <w:pPr>
        <w:pStyle w:val="Textpoznpodarou"/>
        <w:jc w:val="both"/>
        <w:rPr>
          <w:b/>
          <w:u w:val="single"/>
        </w:rPr>
      </w:pPr>
      <w:r w:rsidRPr="00C12B67">
        <w:rPr>
          <w:rStyle w:val="Znakapoznpodarou"/>
          <w:b/>
          <w:u w:val="single"/>
        </w:rPr>
        <w:footnoteRef/>
      </w:r>
      <w:r w:rsidRPr="00C12B67">
        <w:rPr>
          <w:b/>
          <w:u w:val="single"/>
        </w:rPr>
        <w:t xml:space="preserve"> Směrnice Evropského parlamentu a Rady 2011/83/EU ze dne 25. října 2011 o právech spotřebitelů, kterou se mění směrnice Rady 93/13/EHS a směrnice Evropského parlamentu a Rady 1999/44/ES a zrušuje směrnice Rady 85/577/EHS a směrnice Evropského parlamentu a Rady 97/7/ES (Úř. věst. L 304, 22.11.2011, s. 64).</w:t>
      </w:r>
    </w:p>
  </w:footnote>
  <w:footnote w:id="4">
    <w:p w:rsidR="008C505C" w:rsidRDefault="008C505C">
      <w:pPr>
        <w:pStyle w:val="Textpoznpodarou"/>
      </w:pPr>
      <w:r>
        <w:rPr>
          <w:rStyle w:val="Znakapoznpodarou"/>
        </w:rPr>
        <w:footnoteRef/>
      </w:r>
      <w:r>
        <w:t xml:space="preserve"> </w:t>
      </w:r>
      <w:r w:rsidRPr="00972824">
        <w:t>Úř. věst. L 144, 4.6.1997, s. 19. Směrnice naposledy pozměněná směrnicí 2005/29/ES (Úř. věst. L 149, 11.6.2005, s. 22).</w:t>
      </w:r>
    </w:p>
  </w:footnote>
  <w:footnote w:id="5">
    <w:p w:rsidR="008C505C" w:rsidRPr="00C12B67" w:rsidRDefault="008C505C" w:rsidP="00F20A42">
      <w:pPr>
        <w:pStyle w:val="Textpoznpodarou"/>
        <w:jc w:val="both"/>
        <w:rPr>
          <w:b/>
          <w:u w:val="single"/>
        </w:rPr>
      </w:pPr>
      <w:r w:rsidRPr="00C12B67">
        <w:rPr>
          <w:rStyle w:val="Znakapoznpodarou"/>
          <w:b/>
          <w:u w:val="single"/>
        </w:rPr>
        <w:footnoteRef/>
      </w:r>
      <w:r w:rsidRPr="00C12B67">
        <w:rPr>
          <w:b/>
          <w:u w:val="single"/>
        </w:rPr>
        <w:t xml:space="preserve"> Směrnice Evropského parlamentu a Rady 2017/...ze dne ... , kterou se mění směrnice Rady 91/477/EHS o kontrole nabývání a držení zbraní (Úř. věst. L ...).</w:t>
      </w:r>
    </w:p>
  </w:footnote>
  <w:footnote w:id="6">
    <w:p w:rsidR="008C505C" w:rsidRDefault="008C505C" w:rsidP="00F20A42">
      <w:pPr>
        <w:pStyle w:val="Textpoznpodarou"/>
        <w:jc w:val="both"/>
      </w:pPr>
      <w:r>
        <w:rPr>
          <w:rStyle w:val="Znakapoznpodarou"/>
        </w:rPr>
        <w:footnoteRef/>
      </w:r>
      <w:r>
        <w:t xml:space="preserve"> </w:t>
      </w:r>
      <w:r w:rsidRPr="00972824">
        <w:t>Úř. věst. L 179, 8.7.2008, s. 5.</w:t>
      </w:r>
    </w:p>
  </w:footnote>
  <w:footnote w:id="7">
    <w:p w:rsidR="008C505C" w:rsidRPr="00A8717D" w:rsidRDefault="008C505C" w:rsidP="00F20A42">
      <w:pPr>
        <w:pStyle w:val="Textpoznpodarou"/>
        <w:jc w:val="both"/>
        <w:rPr>
          <w:b/>
          <w:u w:val="single"/>
        </w:rPr>
      </w:pPr>
      <w:r w:rsidRPr="00A8717D">
        <w:rPr>
          <w:rStyle w:val="Znakapoznpodarou"/>
          <w:b/>
          <w:u w:val="single"/>
        </w:rPr>
        <w:footnoteRef/>
      </w:r>
      <w:r w:rsidRPr="00A8717D">
        <w:rPr>
          <w:b/>
          <w:u w:val="single"/>
        </w:rPr>
        <w:t xml:space="preserve"> Prováděcí nařízení Komise (EU) 2015/2403 ze dne 15. prosince 2015, kterým se stanoví společné pokyny o normách a technikách znehodnocování palných zbraní k zajištění toho, aby znehodnocené palné zbraně byly nevratně neschopné střelby (Úř.věst. L 333, 19.12.2015, s. 62).</w:t>
      </w:r>
    </w:p>
  </w:footnote>
  <w:footnote w:id="8">
    <w:p w:rsidR="008C505C" w:rsidRDefault="008C505C" w:rsidP="00F20A42">
      <w:pPr>
        <w:pStyle w:val="Textpoznpodarou"/>
        <w:jc w:val="both"/>
      </w:pPr>
      <w:r>
        <w:rPr>
          <w:rStyle w:val="Znakapoznpodarou"/>
        </w:rPr>
        <w:footnoteRef/>
      </w:r>
      <w:r>
        <w:t xml:space="preserve"> </w:t>
      </w:r>
      <w:r w:rsidRPr="00972824">
        <w:t>Úř. věst. L 184, 17.7.1999, s. 23. Rozhodnutí ve znění rozhodnutí 2006/512/ES (Úř. věst. L 200, 22.7.2006, s. 11).</w:t>
      </w:r>
    </w:p>
  </w:footnote>
  <w:footnote w:id="9">
    <w:p w:rsidR="008C505C" w:rsidRPr="006D6A75" w:rsidRDefault="008C505C">
      <w:pPr>
        <w:pStyle w:val="Textpoznpodarou"/>
        <w:rPr>
          <w:b/>
          <w:u w:val="single"/>
        </w:rPr>
      </w:pPr>
      <w:r w:rsidRPr="006D6A75">
        <w:rPr>
          <w:rStyle w:val="Znakapoznpodarou"/>
          <w:b/>
          <w:u w:val="single"/>
        </w:rPr>
        <w:footnoteRef/>
      </w:r>
      <w:r w:rsidRPr="006D6A75">
        <w:rPr>
          <w:b/>
          <w:u w:val="single"/>
        </w:rPr>
        <w:t xml:space="preserve"> Nařízení Evropského parlamentu a Rady (EU) č. 182/2011 ze dne 16. února 2011, kterým se stanoví pravidla a obecné zásady způsobu, jakým členské státy kontrolují Komisi při výkonu prováděcích pravomocí (Úř. věst. L 55, 28.2.2011, s. 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24"/>
    <w:rsid w:val="00171E76"/>
    <w:rsid w:val="001C542F"/>
    <w:rsid w:val="001E4DA3"/>
    <w:rsid w:val="00212A04"/>
    <w:rsid w:val="00225BF7"/>
    <w:rsid w:val="002844E0"/>
    <w:rsid w:val="002A4017"/>
    <w:rsid w:val="0032265E"/>
    <w:rsid w:val="00352084"/>
    <w:rsid w:val="00587ED3"/>
    <w:rsid w:val="005A1CB6"/>
    <w:rsid w:val="006D6A75"/>
    <w:rsid w:val="0079423C"/>
    <w:rsid w:val="008C505C"/>
    <w:rsid w:val="00972824"/>
    <w:rsid w:val="00A078A8"/>
    <w:rsid w:val="00A8717D"/>
    <w:rsid w:val="00AB2A96"/>
    <w:rsid w:val="00AE3476"/>
    <w:rsid w:val="00B25CAF"/>
    <w:rsid w:val="00C12B67"/>
    <w:rsid w:val="00C608EC"/>
    <w:rsid w:val="00D83AAC"/>
    <w:rsid w:val="00D91F28"/>
    <w:rsid w:val="00DB0490"/>
    <w:rsid w:val="00DD4706"/>
    <w:rsid w:val="00F20A42"/>
    <w:rsid w:val="00F422B3"/>
    <w:rsid w:val="00F929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72824"/>
    <w:rPr>
      <w:color w:val="0000FF"/>
      <w:u w:val="single"/>
    </w:rPr>
  </w:style>
  <w:style w:type="paragraph" w:styleId="Textpoznpodarou">
    <w:name w:val="footnote text"/>
    <w:basedOn w:val="Normln"/>
    <w:link w:val="TextpoznpodarouChar"/>
    <w:uiPriority w:val="99"/>
    <w:semiHidden/>
    <w:unhideWhenUsed/>
    <w:rsid w:val="00225B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25BF7"/>
    <w:rPr>
      <w:sz w:val="20"/>
      <w:szCs w:val="20"/>
    </w:rPr>
  </w:style>
  <w:style w:type="character" w:styleId="Znakapoznpodarou">
    <w:name w:val="footnote reference"/>
    <w:basedOn w:val="Standardnpsmoodstavce"/>
    <w:uiPriority w:val="99"/>
    <w:semiHidden/>
    <w:unhideWhenUsed/>
    <w:rsid w:val="00225BF7"/>
    <w:rPr>
      <w:vertAlign w:val="superscript"/>
    </w:rPr>
  </w:style>
  <w:style w:type="paragraph" w:styleId="Zhlav">
    <w:name w:val="header"/>
    <w:basedOn w:val="Normln"/>
    <w:link w:val="ZhlavChar"/>
    <w:uiPriority w:val="99"/>
    <w:unhideWhenUsed/>
    <w:rsid w:val="00F20A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0A42"/>
  </w:style>
  <w:style w:type="paragraph" w:styleId="Zpat">
    <w:name w:val="footer"/>
    <w:basedOn w:val="Normln"/>
    <w:link w:val="ZpatChar"/>
    <w:uiPriority w:val="99"/>
    <w:unhideWhenUsed/>
    <w:rsid w:val="00F20A42"/>
    <w:pPr>
      <w:tabs>
        <w:tab w:val="center" w:pos="4536"/>
        <w:tab w:val="right" w:pos="9072"/>
      </w:tabs>
      <w:spacing w:after="0" w:line="240" w:lineRule="auto"/>
    </w:pPr>
  </w:style>
  <w:style w:type="character" w:customStyle="1" w:styleId="ZpatChar">
    <w:name w:val="Zápatí Char"/>
    <w:basedOn w:val="Standardnpsmoodstavce"/>
    <w:link w:val="Zpat"/>
    <w:uiPriority w:val="99"/>
    <w:rsid w:val="00F20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72824"/>
    <w:rPr>
      <w:color w:val="0000FF"/>
      <w:u w:val="single"/>
    </w:rPr>
  </w:style>
  <w:style w:type="paragraph" w:styleId="Textpoznpodarou">
    <w:name w:val="footnote text"/>
    <w:basedOn w:val="Normln"/>
    <w:link w:val="TextpoznpodarouChar"/>
    <w:uiPriority w:val="99"/>
    <w:semiHidden/>
    <w:unhideWhenUsed/>
    <w:rsid w:val="00225B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25BF7"/>
    <w:rPr>
      <w:sz w:val="20"/>
      <w:szCs w:val="20"/>
    </w:rPr>
  </w:style>
  <w:style w:type="character" w:styleId="Znakapoznpodarou">
    <w:name w:val="footnote reference"/>
    <w:basedOn w:val="Standardnpsmoodstavce"/>
    <w:uiPriority w:val="99"/>
    <w:semiHidden/>
    <w:unhideWhenUsed/>
    <w:rsid w:val="00225BF7"/>
    <w:rPr>
      <w:vertAlign w:val="superscript"/>
    </w:rPr>
  </w:style>
  <w:style w:type="paragraph" w:styleId="Zhlav">
    <w:name w:val="header"/>
    <w:basedOn w:val="Normln"/>
    <w:link w:val="ZhlavChar"/>
    <w:uiPriority w:val="99"/>
    <w:unhideWhenUsed/>
    <w:rsid w:val="00F20A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0A42"/>
  </w:style>
  <w:style w:type="paragraph" w:styleId="Zpat">
    <w:name w:val="footer"/>
    <w:basedOn w:val="Normln"/>
    <w:link w:val="ZpatChar"/>
    <w:uiPriority w:val="99"/>
    <w:unhideWhenUsed/>
    <w:rsid w:val="00F20A42"/>
    <w:pPr>
      <w:tabs>
        <w:tab w:val="center" w:pos="4536"/>
        <w:tab w:val="right" w:pos="9072"/>
      </w:tabs>
      <w:spacing w:after="0" w:line="240" w:lineRule="auto"/>
    </w:pPr>
  </w:style>
  <w:style w:type="character" w:customStyle="1" w:styleId="ZpatChar">
    <w:name w:val="Zápatí Char"/>
    <w:basedOn w:val="Standardnpsmoodstavce"/>
    <w:link w:val="Zpat"/>
    <w:uiPriority w:val="99"/>
    <w:rsid w:val="00F2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6521">
      <w:bodyDiv w:val="1"/>
      <w:marLeft w:val="0"/>
      <w:marRight w:val="0"/>
      <w:marTop w:val="0"/>
      <w:marBottom w:val="0"/>
      <w:divBdr>
        <w:top w:val="none" w:sz="0" w:space="0" w:color="auto"/>
        <w:left w:val="none" w:sz="0" w:space="0" w:color="auto"/>
        <w:bottom w:val="none" w:sz="0" w:space="0" w:color="auto"/>
        <w:right w:val="none" w:sz="0" w:space="0" w:color="auto"/>
      </w:divBdr>
    </w:div>
    <w:div w:id="301276188">
      <w:bodyDiv w:val="1"/>
      <w:marLeft w:val="0"/>
      <w:marRight w:val="0"/>
      <w:marTop w:val="0"/>
      <w:marBottom w:val="0"/>
      <w:divBdr>
        <w:top w:val="none" w:sz="0" w:space="0" w:color="auto"/>
        <w:left w:val="none" w:sz="0" w:space="0" w:color="auto"/>
        <w:bottom w:val="none" w:sz="0" w:space="0" w:color="auto"/>
        <w:right w:val="none" w:sz="0" w:space="0" w:color="auto"/>
      </w:divBdr>
    </w:div>
    <w:div w:id="496844557">
      <w:bodyDiv w:val="1"/>
      <w:marLeft w:val="0"/>
      <w:marRight w:val="0"/>
      <w:marTop w:val="0"/>
      <w:marBottom w:val="0"/>
      <w:divBdr>
        <w:top w:val="none" w:sz="0" w:space="0" w:color="auto"/>
        <w:left w:val="none" w:sz="0" w:space="0" w:color="auto"/>
        <w:bottom w:val="none" w:sz="0" w:space="0" w:color="auto"/>
        <w:right w:val="none" w:sz="0" w:space="0" w:color="auto"/>
      </w:divBdr>
    </w:div>
    <w:div w:id="771902191">
      <w:bodyDiv w:val="1"/>
      <w:marLeft w:val="0"/>
      <w:marRight w:val="0"/>
      <w:marTop w:val="0"/>
      <w:marBottom w:val="0"/>
      <w:divBdr>
        <w:top w:val="none" w:sz="0" w:space="0" w:color="auto"/>
        <w:left w:val="none" w:sz="0" w:space="0" w:color="auto"/>
        <w:bottom w:val="none" w:sz="0" w:space="0" w:color="auto"/>
        <w:right w:val="none" w:sz="0" w:space="0" w:color="auto"/>
      </w:divBdr>
    </w:div>
    <w:div w:id="801340103">
      <w:bodyDiv w:val="1"/>
      <w:marLeft w:val="0"/>
      <w:marRight w:val="0"/>
      <w:marTop w:val="0"/>
      <w:marBottom w:val="0"/>
      <w:divBdr>
        <w:top w:val="none" w:sz="0" w:space="0" w:color="auto"/>
        <w:left w:val="none" w:sz="0" w:space="0" w:color="auto"/>
        <w:bottom w:val="none" w:sz="0" w:space="0" w:color="auto"/>
        <w:right w:val="none" w:sz="0" w:space="0" w:color="auto"/>
      </w:divBdr>
      <w:divsChild>
        <w:div w:id="1240021521">
          <w:marLeft w:val="0"/>
          <w:marRight w:val="0"/>
          <w:marTop w:val="0"/>
          <w:marBottom w:val="0"/>
          <w:divBdr>
            <w:top w:val="none" w:sz="0" w:space="0" w:color="auto"/>
            <w:left w:val="none" w:sz="0" w:space="0" w:color="auto"/>
            <w:bottom w:val="none" w:sz="0" w:space="0" w:color="auto"/>
            <w:right w:val="none" w:sz="0" w:space="0" w:color="auto"/>
          </w:divBdr>
          <w:divsChild>
            <w:div w:id="285550837">
              <w:marLeft w:val="240"/>
              <w:marRight w:val="0"/>
              <w:marTop w:val="0"/>
              <w:marBottom w:val="0"/>
              <w:divBdr>
                <w:top w:val="none" w:sz="0" w:space="0" w:color="auto"/>
                <w:left w:val="none" w:sz="0" w:space="0" w:color="auto"/>
                <w:bottom w:val="none" w:sz="0" w:space="0" w:color="auto"/>
                <w:right w:val="none" w:sz="0" w:space="0" w:color="auto"/>
              </w:divBdr>
            </w:div>
            <w:div w:id="1180778742">
              <w:marLeft w:val="240"/>
              <w:marRight w:val="0"/>
              <w:marTop w:val="0"/>
              <w:marBottom w:val="0"/>
              <w:divBdr>
                <w:top w:val="none" w:sz="0" w:space="0" w:color="auto"/>
                <w:left w:val="none" w:sz="0" w:space="0" w:color="auto"/>
                <w:bottom w:val="none" w:sz="0" w:space="0" w:color="auto"/>
                <w:right w:val="none" w:sz="0" w:space="0" w:color="auto"/>
              </w:divBdr>
            </w:div>
            <w:div w:id="1011832208">
              <w:marLeft w:val="480"/>
              <w:marRight w:val="0"/>
              <w:marTop w:val="0"/>
              <w:marBottom w:val="0"/>
              <w:divBdr>
                <w:top w:val="none" w:sz="0" w:space="0" w:color="auto"/>
                <w:left w:val="none" w:sz="0" w:space="0" w:color="auto"/>
                <w:bottom w:val="none" w:sz="0" w:space="0" w:color="auto"/>
                <w:right w:val="none" w:sz="0" w:space="0" w:color="auto"/>
              </w:divBdr>
            </w:div>
            <w:div w:id="242489649">
              <w:marLeft w:val="600"/>
              <w:marRight w:val="0"/>
              <w:marTop w:val="0"/>
              <w:marBottom w:val="0"/>
              <w:divBdr>
                <w:top w:val="none" w:sz="0" w:space="0" w:color="auto"/>
                <w:left w:val="none" w:sz="0" w:space="0" w:color="auto"/>
                <w:bottom w:val="none" w:sz="0" w:space="0" w:color="auto"/>
                <w:right w:val="none" w:sz="0" w:space="0" w:color="auto"/>
              </w:divBdr>
            </w:div>
            <w:div w:id="2024739987">
              <w:marLeft w:val="720"/>
              <w:marRight w:val="0"/>
              <w:marTop w:val="0"/>
              <w:marBottom w:val="0"/>
              <w:divBdr>
                <w:top w:val="none" w:sz="0" w:space="0" w:color="auto"/>
                <w:left w:val="none" w:sz="0" w:space="0" w:color="auto"/>
                <w:bottom w:val="none" w:sz="0" w:space="0" w:color="auto"/>
                <w:right w:val="none" w:sz="0" w:space="0" w:color="auto"/>
              </w:divBdr>
            </w:div>
            <w:div w:id="1625699617">
              <w:marLeft w:val="480"/>
              <w:marRight w:val="0"/>
              <w:marTop w:val="0"/>
              <w:marBottom w:val="0"/>
              <w:divBdr>
                <w:top w:val="none" w:sz="0" w:space="0" w:color="auto"/>
                <w:left w:val="none" w:sz="0" w:space="0" w:color="auto"/>
                <w:bottom w:val="none" w:sz="0" w:space="0" w:color="auto"/>
                <w:right w:val="none" w:sz="0" w:space="0" w:color="auto"/>
              </w:divBdr>
            </w:div>
            <w:div w:id="977997266">
              <w:marLeft w:val="480"/>
              <w:marRight w:val="0"/>
              <w:marTop w:val="0"/>
              <w:marBottom w:val="0"/>
              <w:divBdr>
                <w:top w:val="none" w:sz="0" w:space="0" w:color="auto"/>
                <w:left w:val="none" w:sz="0" w:space="0" w:color="auto"/>
                <w:bottom w:val="none" w:sz="0" w:space="0" w:color="auto"/>
                <w:right w:val="none" w:sz="0" w:space="0" w:color="auto"/>
              </w:divBdr>
            </w:div>
            <w:div w:id="747266225">
              <w:marLeft w:val="480"/>
              <w:marRight w:val="0"/>
              <w:marTop w:val="0"/>
              <w:marBottom w:val="0"/>
              <w:divBdr>
                <w:top w:val="none" w:sz="0" w:space="0" w:color="auto"/>
                <w:left w:val="none" w:sz="0" w:space="0" w:color="auto"/>
                <w:bottom w:val="none" w:sz="0" w:space="0" w:color="auto"/>
                <w:right w:val="none" w:sz="0" w:space="0" w:color="auto"/>
              </w:divBdr>
            </w:div>
            <w:div w:id="475145864">
              <w:marLeft w:val="480"/>
              <w:marRight w:val="0"/>
              <w:marTop w:val="0"/>
              <w:marBottom w:val="0"/>
              <w:divBdr>
                <w:top w:val="none" w:sz="0" w:space="0" w:color="auto"/>
                <w:left w:val="none" w:sz="0" w:space="0" w:color="auto"/>
                <w:bottom w:val="none" w:sz="0" w:space="0" w:color="auto"/>
                <w:right w:val="none" w:sz="0" w:space="0" w:color="auto"/>
              </w:divBdr>
            </w:div>
            <w:div w:id="1323316663">
              <w:marLeft w:val="480"/>
              <w:marRight w:val="0"/>
              <w:marTop w:val="0"/>
              <w:marBottom w:val="0"/>
              <w:divBdr>
                <w:top w:val="none" w:sz="0" w:space="0" w:color="auto"/>
                <w:left w:val="none" w:sz="0" w:space="0" w:color="auto"/>
                <w:bottom w:val="none" w:sz="0" w:space="0" w:color="auto"/>
                <w:right w:val="none" w:sz="0" w:space="0" w:color="auto"/>
              </w:divBdr>
            </w:div>
            <w:div w:id="1026755641">
              <w:marLeft w:val="480"/>
              <w:marRight w:val="0"/>
              <w:marTop w:val="0"/>
              <w:marBottom w:val="0"/>
              <w:divBdr>
                <w:top w:val="none" w:sz="0" w:space="0" w:color="auto"/>
                <w:left w:val="none" w:sz="0" w:space="0" w:color="auto"/>
                <w:bottom w:val="none" w:sz="0" w:space="0" w:color="auto"/>
                <w:right w:val="none" w:sz="0" w:space="0" w:color="auto"/>
              </w:divBdr>
            </w:div>
            <w:div w:id="1772578791">
              <w:marLeft w:val="480"/>
              <w:marRight w:val="0"/>
              <w:marTop w:val="0"/>
              <w:marBottom w:val="0"/>
              <w:divBdr>
                <w:top w:val="none" w:sz="0" w:space="0" w:color="auto"/>
                <w:left w:val="none" w:sz="0" w:space="0" w:color="auto"/>
                <w:bottom w:val="none" w:sz="0" w:space="0" w:color="auto"/>
                <w:right w:val="none" w:sz="0" w:space="0" w:color="auto"/>
              </w:divBdr>
            </w:div>
            <w:div w:id="755975841">
              <w:marLeft w:val="480"/>
              <w:marRight w:val="0"/>
              <w:marTop w:val="0"/>
              <w:marBottom w:val="0"/>
              <w:divBdr>
                <w:top w:val="none" w:sz="0" w:space="0" w:color="auto"/>
                <w:left w:val="none" w:sz="0" w:space="0" w:color="auto"/>
                <w:bottom w:val="none" w:sz="0" w:space="0" w:color="auto"/>
                <w:right w:val="none" w:sz="0" w:space="0" w:color="auto"/>
              </w:divBdr>
            </w:div>
            <w:div w:id="768426861">
              <w:marLeft w:val="480"/>
              <w:marRight w:val="0"/>
              <w:marTop w:val="0"/>
              <w:marBottom w:val="0"/>
              <w:divBdr>
                <w:top w:val="none" w:sz="0" w:space="0" w:color="auto"/>
                <w:left w:val="none" w:sz="0" w:space="0" w:color="auto"/>
                <w:bottom w:val="none" w:sz="0" w:space="0" w:color="auto"/>
                <w:right w:val="none" w:sz="0" w:space="0" w:color="auto"/>
              </w:divBdr>
            </w:div>
            <w:div w:id="1215894186">
              <w:marLeft w:val="240"/>
              <w:marRight w:val="0"/>
              <w:marTop w:val="0"/>
              <w:marBottom w:val="0"/>
              <w:divBdr>
                <w:top w:val="none" w:sz="0" w:space="0" w:color="auto"/>
                <w:left w:val="none" w:sz="0" w:space="0" w:color="auto"/>
                <w:bottom w:val="none" w:sz="0" w:space="0" w:color="auto"/>
                <w:right w:val="none" w:sz="0" w:space="0" w:color="auto"/>
              </w:divBdr>
            </w:div>
            <w:div w:id="274753774">
              <w:marLeft w:val="240"/>
              <w:marRight w:val="0"/>
              <w:marTop w:val="0"/>
              <w:marBottom w:val="0"/>
              <w:divBdr>
                <w:top w:val="none" w:sz="0" w:space="0" w:color="auto"/>
                <w:left w:val="none" w:sz="0" w:space="0" w:color="auto"/>
                <w:bottom w:val="none" w:sz="0" w:space="0" w:color="auto"/>
                <w:right w:val="none" w:sz="0" w:space="0" w:color="auto"/>
              </w:divBdr>
            </w:div>
            <w:div w:id="194927436">
              <w:marLeft w:val="240"/>
              <w:marRight w:val="0"/>
              <w:marTop w:val="0"/>
              <w:marBottom w:val="0"/>
              <w:divBdr>
                <w:top w:val="none" w:sz="0" w:space="0" w:color="auto"/>
                <w:left w:val="none" w:sz="0" w:space="0" w:color="auto"/>
                <w:bottom w:val="none" w:sz="0" w:space="0" w:color="auto"/>
                <w:right w:val="none" w:sz="0" w:space="0" w:color="auto"/>
              </w:divBdr>
            </w:div>
            <w:div w:id="600845309">
              <w:marLeft w:val="240"/>
              <w:marRight w:val="0"/>
              <w:marTop w:val="0"/>
              <w:marBottom w:val="0"/>
              <w:divBdr>
                <w:top w:val="none" w:sz="0" w:space="0" w:color="auto"/>
                <w:left w:val="none" w:sz="0" w:space="0" w:color="auto"/>
                <w:bottom w:val="none" w:sz="0" w:space="0" w:color="auto"/>
                <w:right w:val="none" w:sz="0" w:space="0" w:color="auto"/>
              </w:divBdr>
            </w:div>
            <w:div w:id="543447351">
              <w:marLeft w:val="240"/>
              <w:marRight w:val="0"/>
              <w:marTop w:val="0"/>
              <w:marBottom w:val="0"/>
              <w:divBdr>
                <w:top w:val="none" w:sz="0" w:space="0" w:color="auto"/>
                <w:left w:val="none" w:sz="0" w:space="0" w:color="auto"/>
                <w:bottom w:val="none" w:sz="0" w:space="0" w:color="auto"/>
                <w:right w:val="none" w:sz="0" w:space="0" w:color="auto"/>
              </w:divBdr>
            </w:div>
            <w:div w:id="708071859">
              <w:marLeft w:val="240"/>
              <w:marRight w:val="0"/>
              <w:marTop w:val="0"/>
              <w:marBottom w:val="0"/>
              <w:divBdr>
                <w:top w:val="none" w:sz="0" w:space="0" w:color="auto"/>
                <w:left w:val="none" w:sz="0" w:space="0" w:color="auto"/>
                <w:bottom w:val="none" w:sz="0" w:space="0" w:color="auto"/>
                <w:right w:val="none" w:sz="0" w:space="0" w:color="auto"/>
              </w:divBdr>
            </w:div>
            <w:div w:id="1662849133">
              <w:marLeft w:val="240"/>
              <w:marRight w:val="0"/>
              <w:marTop w:val="0"/>
              <w:marBottom w:val="0"/>
              <w:divBdr>
                <w:top w:val="none" w:sz="0" w:space="0" w:color="auto"/>
                <w:left w:val="none" w:sz="0" w:space="0" w:color="auto"/>
                <w:bottom w:val="none" w:sz="0" w:space="0" w:color="auto"/>
                <w:right w:val="none" w:sz="0" w:space="0" w:color="auto"/>
              </w:divBdr>
            </w:div>
            <w:div w:id="626469077">
              <w:marLeft w:val="240"/>
              <w:marRight w:val="0"/>
              <w:marTop w:val="0"/>
              <w:marBottom w:val="0"/>
              <w:divBdr>
                <w:top w:val="none" w:sz="0" w:space="0" w:color="auto"/>
                <w:left w:val="none" w:sz="0" w:space="0" w:color="auto"/>
                <w:bottom w:val="none" w:sz="0" w:space="0" w:color="auto"/>
                <w:right w:val="none" w:sz="0" w:space="0" w:color="auto"/>
              </w:divBdr>
            </w:div>
            <w:div w:id="38360035">
              <w:marLeft w:val="240"/>
              <w:marRight w:val="0"/>
              <w:marTop w:val="0"/>
              <w:marBottom w:val="0"/>
              <w:divBdr>
                <w:top w:val="none" w:sz="0" w:space="0" w:color="auto"/>
                <w:left w:val="none" w:sz="0" w:space="0" w:color="auto"/>
                <w:bottom w:val="none" w:sz="0" w:space="0" w:color="auto"/>
                <w:right w:val="none" w:sz="0" w:space="0" w:color="auto"/>
              </w:divBdr>
            </w:div>
            <w:div w:id="1400636033">
              <w:marLeft w:val="240"/>
              <w:marRight w:val="0"/>
              <w:marTop w:val="0"/>
              <w:marBottom w:val="0"/>
              <w:divBdr>
                <w:top w:val="none" w:sz="0" w:space="0" w:color="auto"/>
                <w:left w:val="none" w:sz="0" w:space="0" w:color="auto"/>
                <w:bottom w:val="none" w:sz="0" w:space="0" w:color="auto"/>
                <w:right w:val="none" w:sz="0" w:space="0" w:color="auto"/>
              </w:divBdr>
            </w:div>
            <w:div w:id="346294301">
              <w:marLeft w:val="240"/>
              <w:marRight w:val="0"/>
              <w:marTop w:val="0"/>
              <w:marBottom w:val="0"/>
              <w:divBdr>
                <w:top w:val="none" w:sz="0" w:space="0" w:color="auto"/>
                <w:left w:val="none" w:sz="0" w:space="0" w:color="auto"/>
                <w:bottom w:val="none" w:sz="0" w:space="0" w:color="auto"/>
                <w:right w:val="none" w:sz="0" w:space="0" w:color="auto"/>
              </w:divBdr>
            </w:div>
            <w:div w:id="1080756325">
              <w:marLeft w:val="240"/>
              <w:marRight w:val="0"/>
              <w:marTop w:val="0"/>
              <w:marBottom w:val="0"/>
              <w:divBdr>
                <w:top w:val="none" w:sz="0" w:space="0" w:color="auto"/>
                <w:left w:val="none" w:sz="0" w:space="0" w:color="auto"/>
                <w:bottom w:val="none" w:sz="0" w:space="0" w:color="auto"/>
                <w:right w:val="none" w:sz="0" w:space="0" w:color="auto"/>
              </w:divBdr>
            </w:div>
            <w:div w:id="1295213297">
              <w:marLeft w:val="480"/>
              <w:marRight w:val="0"/>
              <w:marTop w:val="0"/>
              <w:marBottom w:val="0"/>
              <w:divBdr>
                <w:top w:val="none" w:sz="0" w:space="0" w:color="auto"/>
                <w:left w:val="none" w:sz="0" w:space="0" w:color="auto"/>
                <w:bottom w:val="none" w:sz="0" w:space="0" w:color="auto"/>
                <w:right w:val="none" w:sz="0" w:space="0" w:color="auto"/>
              </w:divBdr>
            </w:div>
            <w:div w:id="1450196817">
              <w:marLeft w:val="480"/>
              <w:marRight w:val="0"/>
              <w:marTop w:val="0"/>
              <w:marBottom w:val="0"/>
              <w:divBdr>
                <w:top w:val="none" w:sz="0" w:space="0" w:color="auto"/>
                <w:left w:val="none" w:sz="0" w:space="0" w:color="auto"/>
                <w:bottom w:val="none" w:sz="0" w:space="0" w:color="auto"/>
                <w:right w:val="none" w:sz="0" w:space="0" w:color="auto"/>
              </w:divBdr>
            </w:div>
            <w:div w:id="387724639">
              <w:marLeft w:val="480"/>
              <w:marRight w:val="0"/>
              <w:marTop w:val="0"/>
              <w:marBottom w:val="0"/>
              <w:divBdr>
                <w:top w:val="none" w:sz="0" w:space="0" w:color="auto"/>
                <w:left w:val="none" w:sz="0" w:space="0" w:color="auto"/>
                <w:bottom w:val="none" w:sz="0" w:space="0" w:color="auto"/>
                <w:right w:val="none" w:sz="0" w:space="0" w:color="auto"/>
              </w:divBdr>
            </w:div>
            <w:div w:id="372115485">
              <w:marLeft w:val="480"/>
              <w:marRight w:val="0"/>
              <w:marTop w:val="0"/>
              <w:marBottom w:val="0"/>
              <w:divBdr>
                <w:top w:val="none" w:sz="0" w:space="0" w:color="auto"/>
                <w:left w:val="none" w:sz="0" w:space="0" w:color="auto"/>
                <w:bottom w:val="none" w:sz="0" w:space="0" w:color="auto"/>
                <w:right w:val="none" w:sz="0" w:space="0" w:color="auto"/>
              </w:divBdr>
            </w:div>
            <w:div w:id="1458834818">
              <w:marLeft w:val="480"/>
              <w:marRight w:val="0"/>
              <w:marTop w:val="0"/>
              <w:marBottom w:val="0"/>
              <w:divBdr>
                <w:top w:val="none" w:sz="0" w:space="0" w:color="auto"/>
                <w:left w:val="none" w:sz="0" w:space="0" w:color="auto"/>
                <w:bottom w:val="none" w:sz="0" w:space="0" w:color="auto"/>
                <w:right w:val="none" w:sz="0" w:space="0" w:color="auto"/>
              </w:divBdr>
            </w:div>
            <w:div w:id="1109204892">
              <w:marLeft w:val="480"/>
              <w:marRight w:val="0"/>
              <w:marTop w:val="0"/>
              <w:marBottom w:val="0"/>
              <w:divBdr>
                <w:top w:val="none" w:sz="0" w:space="0" w:color="auto"/>
                <w:left w:val="none" w:sz="0" w:space="0" w:color="auto"/>
                <w:bottom w:val="none" w:sz="0" w:space="0" w:color="auto"/>
                <w:right w:val="none" w:sz="0" w:space="0" w:color="auto"/>
              </w:divBdr>
            </w:div>
            <w:div w:id="628516648">
              <w:marLeft w:val="480"/>
              <w:marRight w:val="0"/>
              <w:marTop w:val="0"/>
              <w:marBottom w:val="0"/>
              <w:divBdr>
                <w:top w:val="none" w:sz="0" w:space="0" w:color="auto"/>
                <w:left w:val="none" w:sz="0" w:space="0" w:color="auto"/>
                <w:bottom w:val="none" w:sz="0" w:space="0" w:color="auto"/>
                <w:right w:val="none" w:sz="0" w:space="0" w:color="auto"/>
              </w:divBdr>
            </w:div>
            <w:div w:id="565455512">
              <w:marLeft w:val="480"/>
              <w:marRight w:val="0"/>
              <w:marTop w:val="0"/>
              <w:marBottom w:val="0"/>
              <w:divBdr>
                <w:top w:val="none" w:sz="0" w:space="0" w:color="auto"/>
                <w:left w:val="none" w:sz="0" w:space="0" w:color="auto"/>
                <w:bottom w:val="none" w:sz="0" w:space="0" w:color="auto"/>
                <w:right w:val="none" w:sz="0" w:space="0" w:color="auto"/>
              </w:divBdr>
            </w:div>
            <w:div w:id="647827374">
              <w:marLeft w:val="480"/>
              <w:marRight w:val="0"/>
              <w:marTop w:val="0"/>
              <w:marBottom w:val="0"/>
              <w:divBdr>
                <w:top w:val="none" w:sz="0" w:space="0" w:color="auto"/>
                <w:left w:val="none" w:sz="0" w:space="0" w:color="auto"/>
                <w:bottom w:val="none" w:sz="0" w:space="0" w:color="auto"/>
                <w:right w:val="none" w:sz="0" w:space="0" w:color="auto"/>
              </w:divBdr>
            </w:div>
            <w:div w:id="55595036">
              <w:marLeft w:val="480"/>
              <w:marRight w:val="0"/>
              <w:marTop w:val="0"/>
              <w:marBottom w:val="0"/>
              <w:divBdr>
                <w:top w:val="none" w:sz="0" w:space="0" w:color="auto"/>
                <w:left w:val="none" w:sz="0" w:space="0" w:color="auto"/>
                <w:bottom w:val="none" w:sz="0" w:space="0" w:color="auto"/>
                <w:right w:val="none" w:sz="0" w:space="0" w:color="auto"/>
              </w:divBdr>
            </w:div>
            <w:div w:id="1377003872">
              <w:marLeft w:val="480"/>
              <w:marRight w:val="0"/>
              <w:marTop w:val="0"/>
              <w:marBottom w:val="0"/>
              <w:divBdr>
                <w:top w:val="none" w:sz="0" w:space="0" w:color="auto"/>
                <w:left w:val="none" w:sz="0" w:space="0" w:color="auto"/>
                <w:bottom w:val="none" w:sz="0" w:space="0" w:color="auto"/>
                <w:right w:val="none" w:sz="0" w:space="0" w:color="auto"/>
              </w:divBdr>
            </w:div>
            <w:div w:id="498928663">
              <w:marLeft w:val="480"/>
              <w:marRight w:val="0"/>
              <w:marTop w:val="0"/>
              <w:marBottom w:val="0"/>
              <w:divBdr>
                <w:top w:val="none" w:sz="0" w:space="0" w:color="auto"/>
                <w:left w:val="none" w:sz="0" w:space="0" w:color="auto"/>
                <w:bottom w:val="none" w:sz="0" w:space="0" w:color="auto"/>
                <w:right w:val="none" w:sz="0" w:space="0" w:color="auto"/>
              </w:divBdr>
            </w:div>
            <w:div w:id="1622149948">
              <w:marLeft w:val="480"/>
              <w:marRight w:val="0"/>
              <w:marTop w:val="0"/>
              <w:marBottom w:val="0"/>
              <w:divBdr>
                <w:top w:val="none" w:sz="0" w:space="0" w:color="auto"/>
                <w:left w:val="none" w:sz="0" w:space="0" w:color="auto"/>
                <w:bottom w:val="none" w:sz="0" w:space="0" w:color="auto"/>
                <w:right w:val="none" w:sz="0" w:space="0" w:color="auto"/>
              </w:divBdr>
            </w:div>
            <w:div w:id="151532788">
              <w:marLeft w:val="480"/>
              <w:marRight w:val="0"/>
              <w:marTop w:val="0"/>
              <w:marBottom w:val="0"/>
              <w:divBdr>
                <w:top w:val="none" w:sz="0" w:space="0" w:color="auto"/>
                <w:left w:val="none" w:sz="0" w:space="0" w:color="auto"/>
                <w:bottom w:val="none" w:sz="0" w:space="0" w:color="auto"/>
                <w:right w:val="none" w:sz="0" w:space="0" w:color="auto"/>
              </w:divBdr>
            </w:div>
            <w:div w:id="445737647">
              <w:marLeft w:val="480"/>
              <w:marRight w:val="0"/>
              <w:marTop w:val="0"/>
              <w:marBottom w:val="0"/>
              <w:divBdr>
                <w:top w:val="none" w:sz="0" w:space="0" w:color="auto"/>
                <w:left w:val="none" w:sz="0" w:space="0" w:color="auto"/>
                <w:bottom w:val="none" w:sz="0" w:space="0" w:color="auto"/>
                <w:right w:val="none" w:sz="0" w:space="0" w:color="auto"/>
              </w:divBdr>
            </w:div>
            <w:div w:id="1529951654">
              <w:marLeft w:val="480"/>
              <w:marRight w:val="0"/>
              <w:marTop w:val="0"/>
              <w:marBottom w:val="0"/>
              <w:divBdr>
                <w:top w:val="none" w:sz="0" w:space="0" w:color="auto"/>
                <w:left w:val="none" w:sz="0" w:space="0" w:color="auto"/>
                <w:bottom w:val="none" w:sz="0" w:space="0" w:color="auto"/>
                <w:right w:val="none" w:sz="0" w:space="0" w:color="auto"/>
              </w:divBdr>
            </w:div>
            <w:div w:id="418405649">
              <w:marLeft w:val="240"/>
              <w:marRight w:val="0"/>
              <w:marTop w:val="0"/>
              <w:marBottom w:val="0"/>
              <w:divBdr>
                <w:top w:val="none" w:sz="0" w:space="0" w:color="auto"/>
                <w:left w:val="none" w:sz="0" w:space="0" w:color="auto"/>
                <w:bottom w:val="none" w:sz="0" w:space="0" w:color="auto"/>
                <w:right w:val="none" w:sz="0" w:space="0" w:color="auto"/>
              </w:divBdr>
            </w:div>
            <w:div w:id="935597680">
              <w:marLeft w:val="480"/>
              <w:marRight w:val="0"/>
              <w:marTop w:val="0"/>
              <w:marBottom w:val="0"/>
              <w:divBdr>
                <w:top w:val="none" w:sz="0" w:space="0" w:color="auto"/>
                <w:left w:val="none" w:sz="0" w:space="0" w:color="auto"/>
                <w:bottom w:val="none" w:sz="0" w:space="0" w:color="auto"/>
                <w:right w:val="none" w:sz="0" w:space="0" w:color="auto"/>
              </w:divBdr>
            </w:div>
            <w:div w:id="1316955453">
              <w:marLeft w:val="480"/>
              <w:marRight w:val="0"/>
              <w:marTop w:val="0"/>
              <w:marBottom w:val="0"/>
              <w:divBdr>
                <w:top w:val="none" w:sz="0" w:space="0" w:color="auto"/>
                <w:left w:val="none" w:sz="0" w:space="0" w:color="auto"/>
                <w:bottom w:val="none" w:sz="0" w:space="0" w:color="auto"/>
                <w:right w:val="none" w:sz="0" w:space="0" w:color="auto"/>
              </w:divBdr>
            </w:div>
            <w:div w:id="492768540">
              <w:marLeft w:val="480"/>
              <w:marRight w:val="0"/>
              <w:marTop w:val="0"/>
              <w:marBottom w:val="0"/>
              <w:divBdr>
                <w:top w:val="none" w:sz="0" w:space="0" w:color="auto"/>
                <w:left w:val="none" w:sz="0" w:space="0" w:color="auto"/>
                <w:bottom w:val="none" w:sz="0" w:space="0" w:color="auto"/>
                <w:right w:val="none" w:sz="0" w:space="0" w:color="auto"/>
              </w:divBdr>
            </w:div>
            <w:div w:id="1753769248">
              <w:marLeft w:val="480"/>
              <w:marRight w:val="0"/>
              <w:marTop w:val="0"/>
              <w:marBottom w:val="0"/>
              <w:divBdr>
                <w:top w:val="none" w:sz="0" w:space="0" w:color="auto"/>
                <w:left w:val="none" w:sz="0" w:space="0" w:color="auto"/>
                <w:bottom w:val="none" w:sz="0" w:space="0" w:color="auto"/>
                <w:right w:val="none" w:sz="0" w:space="0" w:color="auto"/>
              </w:divBdr>
            </w:div>
            <w:div w:id="697050002">
              <w:marLeft w:val="480"/>
              <w:marRight w:val="0"/>
              <w:marTop w:val="0"/>
              <w:marBottom w:val="0"/>
              <w:divBdr>
                <w:top w:val="none" w:sz="0" w:space="0" w:color="auto"/>
                <w:left w:val="none" w:sz="0" w:space="0" w:color="auto"/>
                <w:bottom w:val="none" w:sz="0" w:space="0" w:color="auto"/>
                <w:right w:val="none" w:sz="0" w:space="0" w:color="auto"/>
              </w:divBdr>
            </w:div>
            <w:div w:id="683361176">
              <w:marLeft w:val="480"/>
              <w:marRight w:val="0"/>
              <w:marTop w:val="0"/>
              <w:marBottom w:val="0"/>
              <w:divBdr>
                <w:top w:val="none" w:sz="0" w:space="0" w:color="auto"/>
                <w:left w:val="none" w:sz="0" w:space="0" w:color="auto"/>
                <w:bottom w:val="none" w:sz="0" w:space="0" w:color="auto"/>
                <w:right w:val="none" w:sz="0" w:space="0" w:color="auto"/>
              </w:divBdr>
            </w:div>
            <w:div w:id="883753603">
              <w:marLeft w:val="480"/>
              <w:marRight w:val="0"/>
              <w:marTop w:val="0"/>
              <w:marBottom w:val="0"/>
              <w:divBdr>
                <w:top w:val="none" w:sz="0" w:space="0" w:color="auto"/>
                <w:left w:val="none" w:sz="0" w:space="0" w:color="auto"/>
                <w:bottom w:val="none" w:sz="0" w:space="0" w:color="auto"/>
                <w:right w:val="none" w:sz="0" w:space="0" w:color="auto"/>
              </w:divBdr>
            </w:div>
            <w:div w:id="1501966414">
              <w:marLeft w:val="480"/>
              <w:marRight w:val="0"/>
              <w:marTop w:val="0"/>
              <w:marBottom w:val="0"/>
              <w:divBdr>
                <w:top w:val="none" w:sz="0" w:space="0" w:color="auto"/>
                <w:left w:val="none" w:sz="0" w:space="0" w:color="auto"/>
                <w:bottom w:val="none" w:sz="0" w:space="0" w:color="auto"/>
                <w:right w:val="none" w:sz="0" w:space="0" w:color="auto"/>
              </w:divBdr>
            </w:div>
            <w:div w:id="897520577">
              <w:marLeft w:val="480"/>
              <w:marRight w:val="0"/>
              <w:marTop w:val="0"/>
              <w:marBottom w:val="0"/>
              <w:divBdr>
                <w:top w:val="none" w:sz="0" w:space="0" w:color="auto"/>
                <w:left w:val="none" w:sz="0" w:space="0" w:color="auto"/>
                <w:bottom w:val="none" w:sz="0" w:space="0" w:color="auto"/>
                <w:right w:val="none" w:sz="0" w:space="0" w:color="auto"/>
              </w:divBdr>
            </w:div>
            <w:div w:id="1380859269">
              <w:marLeft w:val="480"/>
              <w:marRight w:val="0"/>
              <w:marTop w:val="0"/>
              <w:marBottom w:val="0"/>
              <w:divBdr>
                <w:top w:val="none" w:sz="0" w:space="0" w:color="auto"/>
                <w:left w:val="none" w:sz="0" w:space="0" w:color="auto"/>
                <w:bottom w:val="none" w:sz="0" w:space="0" w:color="auto"/>
                <w:right w:val="none" w:sz="0" w:space="0" w:color="auto"/>
              </w:divBdr>
            </w:div>
            <w:div w:id="1073940379">
              <w:marLeft w:val="480"/>
              <w:marRight w:val="0"/>
              <w:marTop w:val="0"/>
              <w:marBottom w:val="0"/>
              <w:divBdr>
                <w:top w:val="none" w:sz="0" w:space="0" w:color="auto"/>
                <w:left w:val="none" w:sz="0" w:space="0" w:color="auto"/>
                <w:bottom w:val="none" w:sz="0" w:space="0" w:color="auto"/>
                <w:right w:val="none" w:sz="0" w:space="0" w:color="auto"/>
              </w:divBdr>
            </w:div>
            <w:div w:id="1375812608">
              <w:marLeft w:val="480"/>
              <w:marRight w:val="0"/>
              <w:marTop w:val="0"/>
              <w:marBottom w:val="0"/>
              <w:divBdr>
                <w:top w:val="none" w:sz="0" w:space="0" w:color="auto"/>
                <w:left w:val="none" w:sz="0" w:space="0" w:color="auto"/>
                <w:bottom w:val="none" w:sz="0" w:space="0" w:color="auto"/>
                <w:right w:val="none" w:sz="0" w:space="0" w:color="auto"/>
              </w:divBdr>
            </w:div>
            <w:div w:id="1672372878">
              <w:marLeft w:val="480"/>
              <w:marRight w:val="0"/>
              <w:marTop w:val="0"/>
              <w:marBottom w:val="0"/>
              <w:divBdr>
                <w:top w:val="none" w:sz="0" w:space="0" w:color="auto"/>
                <w:left w:val="none" w:sz="0" w:space="0" w:color="auto"/>
                <w:bottom w:val="none" w:sz="0" w:space="0" w:color="auto"/>
                <w:right w:val="none" w:sz="0" w:space="0" w:color="auto"/>
              </w:divBdr>
            </w:div>
            <w:div w:id="1997680575">
              <w:marLeft w:val="480"/>
              <w:marRight w:val="0"/>
              <w:marTop w:val="0"/>
              <w:marBottom w:val="0"/>
              <w:divBdr>
                <w:top w:val="none" w:sz="0" w:space="0" w:color="auto"/>
                <w:left w:val="none" w:sz="0" w:space="0" w:color="auto"/>
                <w:bottom w:val="none" w:sz="0" w:space="0" w:color="auto"/>
                <w:right w:val="none" w:sz="0" w:space="0" w:color="auto"/>
              </w:divBdr>
            </w:div>
            <w:div w:id="1150828996">
              <w:marLeft w:val="480"/>
              <w:marRight w:val="0"/>
              <w:marTop w:val="0"/>
              <w:marBottom w:val="0"/>
              <w:divBdr>
                <w:top w:val="none" w:sz="0" w:space="0" w:color="auto"/>
                <w:left w:val="none" w:sz="0" w:space="0" w:color="auto"/>
                <w:bottom w:val="none" w:sz="0" w:space="0" w:color="auto"/>
                <w:right w:val="none" w:sz="0" w:space="0" w:color="auto"/>
              </w:divBdr>
            </w:div>
            <w:div w:id="589196691">
              <w:marLeft w:val="480"/>
              <w:marRight w:val="0"/>
              <w:marTop w:val="0"/>
              <w:marBottom w:val="0"/>
              <w:divBdr>
                <w:top w:val="none" w:sz="0" w:space="0" w:color="auto"/>
                <w:left w:val="none" w:sz="0" w:space="0" w:color="auto"/>
                <w:bottom w:val="none" w:sz="0" w:space="0" w:color="auto"/>
                <w:right w:val="none" w:sz="0" w:space="0" w:color="auto"/>
              </w:divBdr>
            </w:div>
            <w:div w:id="1143624686">
              <w:marLeft w:val="480"/>
              <w:marRight w:val="0"/>
              <w:marTop w:val="0"/>
              <w:marBottom w:val="0"/>
              <w:divBdr>
                <w:top w:val="none" w:sz="0" w:space="0" w:color="auto"/>
                <w:left w:val="none" w:sz="0" w:space="0" w:color="auto"/>
                <w:bottom w:val="none" w:sz="0" w:space="0" w:color="auto"/>
                <w:right w:val="none" w:sz="0" w:space="0" w:color="auto"/>
              </w:divBdr>
            </w:div>
            <w:div w:id="2094349461">
              <w:marLeft w:val="480"/>
              <w:marRight w:val="0"/>
              <w:marTop w:val="0"/>
              <w:marBottom w:val="0"/>
              <w:divBdr>
                <w:top w:val="none" w:sz="0" w:space="0" w:color="auto"/>
                <w:left w:val="none" w:sz="0" w:space="0" w:color="auto"/>
                <w:bottom w:val="none" w:sz="0" w:space="0" w:color="auto"/>
                <w:right w:val="none" w:sz="0" w:space="0" w:color="auto"/>
              </w:divBdr>
              <w:divsChild>
                <w:div w:id="27726358">
                  <w:marLeft w:val="240"/>
                  <w:marRight w:val="0"/>
                  <w:marTop w:val="0"/>
                  <w:marBottom w:val="0"/>
                  <w:divBdr>
                    <w:top w:val="none" w:sz="0" w:space="0" w:color="auto"/>
                    <w:left w:val="none" w:sz="0" w:space="0" w:color="auto"/>
                    <w:bottom w:val="none" w:sz="0" w:space="0" w:color="auto"/>
                    <w:right w:val="none" w:sz="0" w:space="0" w:color="auto"/>
                  </w:divBdr>
                </w:div>
                <w:div w:id="1920629411">
                  <w:marLeft w:val="240"/>
                  <w:marRight w:val="0"/>
                  <w:marTop w:val="0"/>
                  <w:marBottom w:val="0"/>
                  <w:divBdr>
                    <w:top w:val="none" w:sz="0" w:space="0" w:color="auto"/>
                    <w:left w:val="none" w:sz="0" w:space="0" w:color="auto"/>
                    <w:bottom w:val="none" w:sz="0" w:space="0" w:color="auto"/>
                    <w:right w:val="none" w:sz="0" w:space="0" w:color="auto"/>
                  </w:divBdr>
                  <w:divsChild>
                    <w:div w:id="1433087979">
                      <w:marLeft w:val="240"/>
                      <w:marRight w:val="0"/>
                      <w:marTop w:val="0"/>
                      <w:marBottom w:val="0"/>
                      <w:divBdr>
                        <w:top w:val="none" w:sz="0" w:space="0" w:color="auto"/>
                        <w:left w:val="none" w:sz="0" w:space="0" w:color="auto"/>
                        <w:bottom w:val="none" w:sz="0" w:space="0" w:color="auto"/>
                        <w:right w:val="none" w:sz="0" w:space="0" w:color="auto"/>
                      </w:divBdr>
                    </w:div>
                    <w:div w:id="1918519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7457">
      <w:bodyDiv w:val="1"/>
      <w:marLeft w:val="0"/>
      <w:marRight w:val="0"/>
      <w:marTop w:val="0"/>
      <w:marBottom w:val="0"/>
      <w:divBdr>
        <w:top w:val="none" w:sz="0" w:space="0" w:color="auto"/>
        <w:left w:val="none" w:sz="0" w:space="0" w:color="auto"/>
        <w:bottom w:val="none" w:sz="0" w:space="0" w:color="auto"/>
        <w:right w:val="none" w:sz="0" w:space="0" w:color="auto"/>
      </w:divBdr>
    </w:div>
    <w:div w:id="1019434238">
      <w:bodyDiv w:val="1"/>
      <w:marLeft w:val="0"/>
      <w:marRight w:val="0"/>
      <w:marTop w:val="0"/>
      <w:marBottom w:val="0"/>
      <w:divBdr>
        <w:top w:val="none" w:sz="0" w:space="0" w:color="auto"/>
        <w:left w:val="none" w:sz="0" w:space="0" w:color="auto"/>
        <w:bottom w:val="none" w:sz="0" w:space="0" w:color="auto"/>
        <w:right w:val="none" w:sz="0" w:space="0" w:color="auto"/>
      </w:divBdr>
    </w:div>
    <w:div w:id="1104887506">
      <w:bodyDiv w:val="1"/>
      <w:marLeft w:val="0"/>
      <w:marRight w:val="0"/>
      <w:marTop w:val="0"/>
      <w:marBottom w:val="0"/>
      <w:divBdr>
        <w:top w:val="none" w:sz="0" w:space="0" w:color="auto"/>
        <w:left w:val="none" w:sz="0" w:space="0" w:color="auto"/>
        <w:bottom w:val="none" w:sz="0" w:space="0" w:color="auto"/>
        <w:right w:val="none" w:sz="0" w:space="0" w:color="auto"/>
      </w:divBdr>
    </w:div>
    <w:div w:id="1145320040">
      <w:bodyDiv w:val="1"/>
      <w:marLeft w:val="0"/>
      <w:marRight w:val="0"/>
      <w:marTop w:val="0"/>
      <w:marBottom w:val="0"/>
      <w:divBdr>
        <w:top w:val="none" w:sz="0" w:space="0" w:color="auto"/>
        <w:left w:val="none" w:sz="0" w:space="0" w:color="auto"/>
        <w:bottom w:val="none" w:sz="0" w:space="0" w:color="auto"/>
        <w:right w:val="none" w:sz="0" w:space="0" w:color="auto"/>
      </w:divBdr>
    </w:div>
    <w:div w:id="1323003906">
      <w:bodyDiv w:val="1"/>
      <w:marLeft w:val="0"/>
      <w:marRight w:val="0"/>
      <w:marTop w:val="0"/>
      <w:marBottom w:val="0"/>
      <w:divBdr>
        <w:top w:val="none" w:sz="0" w:space="0" w:color="auto"/>
        <w:left w:val="none" w:sz="0" w:space="0" w:color="auto"/>
        <w:bottom w:val="none" w:sz="0" w:space="0" w:color="auto"/>
        <w:right w:val="none" w:sz="0" w:space="0" w:color="auto"/>
      </w:divBdr>
    </w:div>
    <w:div w:id="1335764234">
      <w:bodyDiv w:val="1"/>
      <w:marLeft w:val="0"/>
      <w:marRight w:val="0"/>
      <w:marTop w:val="0"/>
      <w:marBottom w:val="0"/>
      <w:divBdr>
        <w:top w:val="none" w:sz="0" w:space="0" w:color="auto"/>
        <w:left w:val="none" w:sz="0" w:space="0" w:color="auto"/>
        <w:bottom w:val="none" w:sz="0" w:space="0" w:color="auto"/>
        <w:right w:val="none" w:sz="0" w:space="0" w:color="auto"/>
      </w:divBdr>
    </w:div>
    <w:div w:id="1367104159">
      <w:bodyDiv w:val="1"/>
      <w:marLeft w:val="0"/>
      <w:marRight w:val="0"/>
      <w:marTop w:val="0"/>
      <w:marBottom w:val="0"/>
      <w:divBdr>
        <w:top w:val="none" w:sz="0" w:space="0" w:color="auto"/>
        <w:left w:val="none" w:sz="0" w:space="0" w:color="auto"/>
        <w:bottom w:val="none" w:sz="0" w:space="0" w:color="auto"/>
        <w:right w:val="none" w:sz="0" w:space="0" w:color="auto"/>
      </w:divBdr>
    </w:div>
    <w:div w:id="1375542261">
      <w:bodyDiv w:val="1"/>
      <w:marLeft w:val="0"/>
      <w:marRight w:val="0"/>
      <w:marTop w:val="0"/>
      <w:marBottom w:val="0"/>
      <w:divBdr>
        <w:top w:val="none" w:sz="0" w:space="0" w:color="auto"/>
        <w:left w:val="none" w:sz="0" w:space="0" w:color="auto"/>
        <w:bottom w:val="none" w:sz="0" w:space="0" w:color="auto"/>
        <w:right w:val="none" w:sz="0" w:space="0" w:color="auto"/>
      </w:divBdr>
    </w:div>
    <w:div w:id="1411465342">
      <w:bodyDiv w:val="1"/>
      <w:marLeft w:val="0"/>
      <w:marRight w:val="0"/>
      <w:marTop w:val="0"/>
      <w:marBottom w:val="0"/>
      <w:divBdr>
        <w:top w:val="none" w:sz="0" w:space="0" w:color="auto"/>
        <w:left w:val="none" w:sz="0" w:space="0" w:color="auto"/>
        <w:bottom w:val="none" w:sz="0" w:space="0" w:color="auto"/>
        <w:right w:val="none" w:sz="0" w:space="0" w:color="auto"/>
      </w:divBdr>
    </w:div>
    <w:div w:id="1432554432">
      <w:bodyDiv w:val="1"/>
      <w:marLeft w:val="0"/>
      <w:marRight w:val="0"/>
      <w:marTop w:val="0"/>
      <w:marBottom w:val="0"/>
      <w:divBdr>
        <w:top w:val="none" w:sz="0" w:space="0" w:color="auto"/>
        <w:left w:val="none" w:sz="0" w:space="0" w:color="auto"/>
        <w:bottom w:val="none" w:sz="0" w:space="0" w:color="auto"/>
        <w:right w:val="none" w:sz="0" w:space="0" w:color="auto"/>
      </w:divBdr>
    </w:div>
    <w:div w:id="1443304598">
      <w:bodyDiv w:val="1"/>
      <w:marLeft w:val="0"/>
      <w:marRight w:val="0"/>
      <w:marTop w:val="0"/>
      <w:marBottom w:val="0"/>
      <w:divBdr>
        <w:top w:val="none" w:sz="0" w:space="0" w:color="auto"/>
        <w:left w:val="none" w:sz="0" w:space="0" w:color="auto"/>
        <w:bottom w:val="none" w:sz="0" w:space="0" w:color="auto"/>
        <w:right w:val="none" w:sz="0" w:space="0" w:color="auto"/>
      </w:divBdr>
    </w:div>
    <w:div w:id="1476920619">
      <w:bodyDiv w:val="1"/>
      <w:marLeft w:val="0"/>
      <w:marRight w:val="0"/>
      <w:marTop w:val="0"/>
      <w:marBottom w:val="0"/>
      <w:divBdr>
        <w:top w:val="none" w:sz="0" w:space="0" w:color="auto"/>
        <w:left w:val="none" w:sz="0" w:space="0" w:color="auto"/>
        <w:bottom w:val="none" w:sz="0" w:space="0" w:color="auto"/>
        <w:right w:val="none" w:sz="0" w:space="0" w:color="auto"/>
      </w:divBdr>
    </w:div>
    <w:div w:id="1493792569">
      <w:bodyDiv w:val="1"/>
      <w:marLeft w:val="0"/>
      <w:marRight w:val="0"/>
      <w:marTop w:val="0"/>
      <w:marBottom w:val="0"/>
      <w:divBdr>
        <w:top w:val="none" w:sz="0" w:space="0" w:color="auto"/>
        <w:left w:val="none" w:sz="0" w:space="0" w:color="auto"/>
        <w:bottom w:val="none" w:sz="0" w:space="0" w:color="auto"/>
        <w:right w:val="none" w:sz="0" w:space="0" w:color="auto"/>
      </w:divBdr>
    </w:div>
    <w:div w:id="1506744994">
      <w:bodyDiv w:val="1"/>
      <w:marLeft w:val="0"/>
      <w:marRight w:val="0"/>
      <w:marTop w:val="0"/>
      <w:marBottom w:val="0"/>
      <w:divBdr>
        <w:top w:val="none" w:sz="0" w:space="0" w:color="auto"/>
        <w:left w:val="none" w:sz="0" w:space="0" w:color="auto"/>
        <w:bottom w:val="none" w:sz="0" w:space="0" w:color="auto"/>
        <w:right w:val="none" w:sz="0" w:space="0" w:color="auto"/>
      </w:divBdr>
    </w:div>
    <w:div w:id="1522427449">
      <w:bodyDiv w:val="1"/>
      <w:marLeft w:val="0"/>
      <w:marRight w:val="0"/>
      <w:marTop w:val="0"/>
      <w:marBottom w:val="0"/>
      <w:divBdr>
        <w:top w:val="none" w:sz="0" w:space="0" w:color="auto"/>
        <w:left w:val="none" w:sz="0" w:space="0" w:color="auto"/>
        <w:bottom w:val="none" w:sz="0" w:space="0" w:color="auto"/>
        <w:right w:val="none" w:sz="0" w:space="0" w:color="auto"/>
      </w:divBdr>
    </w:div>
    <w:div w:id="1523399353">
      <w:bodyDiv w:val="1"/>
      <w:marLeft w:val="0"/>
      <w:marRight w:val="0"/>
      <w:marTop w:val="0"/>
      <w:marBottom w:val="0"/>
      <w:divBdr>
        <w:top w:val="none" w:sz="0" w:space="0" w:color="auto"/>
        <w:left w:val="none" w:sz="0" w:space="0" w:color="auto"/>
        <w:bottom w:val="none" w:sz="0" w:space="0" w:color="auto"/>
        <w:right w:val="none" w:sz="0" w:space="0" w:color="auto"/>
      </w:divBdr>
    </w:div>
    <w:div w:id="1667173494">
      <w:bodyDiv w:val="1"/>
      <w:marLeft w:val="0"/>
      <w:marRight w:val="0"/>
      <w:marTop w:val="0"/>
      <w:marBottom w:val="0"/>
      <w:divBdr>
        <w:top w:val="none" w:sz="0" w:space="0" w:color="auto"/>
        <w:left w:val="none" w:sz="0" w:space="0" w:color="auto"/>
        <w:bottom w:val="none" w:sz="0" w:space="0" w:color="auto"/>
        <w:right w:val="none" w:sz="0" w:space="0" w:color="auto"/>
      </w:divBdr>
    </w:div>
    <w:div w:id="1692536520">
      <w:bodyDiv w:val="1"/>
      <w:marLeft w:val="0"/>
      <w:marRight w:val="0"/>
      <w:marTop w:val="0"/>
      <w:marBottom w:val="0"/>
      <w:divBdr>
        <w:top w:val="none" w:sz="0" w:space="0" w:color="auto"/>
        <w:left w:val="none" w:sz="0" w:space="0" w:color="auto"/>
        <w:bottom w:val="none" w:sz="0" w:space="0" w:color="auto"/>
        <w:right w:val="none" w:sz="0" w:space="0" w:color="auto"/>
      </w:divBdr>
    </w:div>
    <w:div w:id="1730880045">
      <w:bodyDiv w:val="1"/>
      <w:marLeft w:val="0"/>
      <w:marRight w:val="0"/>
      <w:marTop w:val="0"/>
      <w:marBottom w:val="0"/>
      <w:divBdr>
        <w:top w:val="none" w:sz="0" w:space="0" w:color="auto"/>
        <w:left w:val="none" w:sz="0" w:space="0" w:color="auto"/>
        <w:bottom w:val="none" w:sz="0" w:space="0" w:color="auto"/>
        <w:right w:val="none" w:sz="0" w:space="0" w:color="auto"/>
      </w:divBdr>
    </w:div>
    <w:div w:id="1763448312">
      <w:bodyDiv w:val="1"/>
      <w:marLeft w:val="0"/>
      <w:marRight w:val="0"/>
      <w:marTop w:val="0"/>
      <w:marBottom w:val="0"/>
      <w:divBdr>
        <w:top w:val="none" w:sz="0" w:space="0" w:color="auto"/>
        <w:left w:val="none" w:sz="0" w:space="0" w:color="auto"/>
        <w:bottom w:val="none" w:sz="0" w:space="0" w:color="auto"/>
        <w:right w:val="none" w:sz="0" w:space="0" w:color="auto"/>
      </w:divBdr>
      <w:divsChild>
        <w:div w:id="1939943877">
          <w:marLeft w:val="0"/>
          <w:marRight w:val="0"/>
          <w:marTop w:val="0"/>
          <w:marBottom w:val="0"/>
          <w:divBdr>
            <w:top w:val="none" w:sz="0" w:space="0" w:color="auto"/>
            <w:left w:val="none" w:sz="0" w:space="0" w:color="auto"/>
            <w:bottom w:val="none" w:sz="0" w:space="0" w:color="auto"/>
            <w:right w:val="none" w:sz="0" w:space="0" w:color="auto"/>
          </w:divBdr>
          <w:divsChild>
            <w:div w:id="1146625713">
              <w:marLeft w:val="240"/>
              <w:marRight w:val="0"/>
              <w:marTop w:val="0"/>
              <w:marBottom w:val="0"/>
              <w:divBdr>
                <w:top w:val="none" w:sz="0" w:space="0" w:color="auto"/>
                <w:left w:val="none" w:sz="0" w:space="0" w:color="auto"/>
                <w:bottom w:val="none" w:sz="0" w:space="0" w:color="auto"/>
                <w:right w:val="none" w:sz="0" w:space="0" w:color="auto"/>
              </w:divBdr>
            </w:div>
            <w:div w:id="192303088">
              <w:marLeft w:val="240"/>
              <w:marRight w:val="0"/>
              <w:marTop w:val="0"/>
              <w:marBottom w:val="0"/>
              <w:divBdr>
                <w:top w:val="none" w:sz="0" w:space="0" w:color="auto"/>
                <w:left w:val="none" w:sz="0" w:space="0" w:color="auto"/>
                <w:bottom w:val="none" w:sz="0" w:space="0" w:color="auto"/>
                <w:right w:val="none" w:sz="0" w:space="0" w:color="auto"/>
              </w:divBdr>
            </w:div>
            <w:div w:id="1032849190">
              <w:marLeft w:val="480"/>
              <w:marRight w:val="0"/>
              <w:marTop w:val="0"/>
              <w:marBottom w:val="0"/>
              <w:divBdr>
                <w:top w:val="none" w:sz="0" w:space="0" w:color="auto"/>
                <w:left w:val="none" w:sz="0" w:space="0" w:color="auto"/>
                <w:bottom w:val="none" w:sz="0" w:space="0" w:color="auto"/>
                <w:right w:val="none" w:sz="0" w:space="0" w:color="auto"/>
              </w:divBdr>
            </w:div>
            <w:div w:id="887567008">
              <w:marLeft w:val="600"/>
              <w:marRight w:val="0"/>
              <w:marTop w:val="0"/>
              <w:marBottom w:val="0"/>
              <w:divBdr>
                <w:top w:val="none" w:sz="0" w:space="0" w:color="auto"/>
                <w:left w:val="none" w:sz="0" w:space="0" w:color="auto"/>
                <w:bottom w:val="none" w:sz="0" w:space="0" w:color="auto"/>
                <w:right w:val="none" w:sz="0" w:space="0" w:color="auto"/>
              </w:divBdr>
            </w:div>
            <w:div w:id="799032753">
              <w:marLeft w:val="720"/>
              <w:marRight w:val="0"/>
              <w:marTop w:val="0"/>
              <w:marBottom w:val="0"/>
              <w:divBdr>
                <w:top w:val="none" w:sz="0" w:space="0" w:color="auto"/>
                <w:left w:val="none" w:sz="0" w:space="0" w:color="auto"/>
                <w:bottom w:val="none" w:sz="0" w:space="0" w:color="auto"/>
                <w:right w:val="none" w:sz="0" w:space="0" w:color="auto"/>
              </w:divBdr>
            </w:div>
            <w:div w:id="826869061">
              <w:marLeft w:val="480"/>
              <w:marRight w:val="0"/>
              <w:marTop w:val="0"/>
              <w:marBottom w:val="0"/>
              <w:divBdr>
                <w:top w:val="none" w:sz="0" w:space="0" w:color="auto"/>
                <w:left w:val="none" w:sz="0" w:space="0" w:color="auto"/>
                <w:bottom w:val="none" w:sz="0" w:space="0" w:color="auto"/>
                <w:right w:val="none" w:sz="0" w:space="0" w:color="auto"/>
              </w:divBdr>
            </w:div>
            <w:div w:id="513763968">
              <w:marLeft w:val="480"/>
              <w:marRight w:val="0"/>
              <w:marTop w:val="0"/>
              <w:marBottom w:val="0"/>
              <w:divBdr>
                <w:top w:val="none" w:sz="0" w:space="0" w:color="auto"/>
                <w:left w:val="none" w:sz="0" w:space="0" w:color="auto"/>
                <w:bottom w:val="none" w:sz="0" w:space="0" w:color="auto"/>
                <w:right w:val="none" w:sz="0" w:space="0" w:color="auto"/>
              </w:divBdr>
            </w:div>
            <w:div w:id="1660887956">
              <w:marLeft w:val="480"/>
              <w:marRight w:val="0"/>
              <w:marTop w:val="0"/>
              <w:marBottom w:val="0"/>
              <w:divBdr>
                <w:top w:val="none" w:sz="0" w:space="0" w:color="auto"/>
                <w:left w:val="none" w:sz="0" w:space="0" w:color="auto"/>
                <w:bottom w:val="none" w:sz="0" w:space="0" w:color="auto"/>
                <w:right w:val="none" w:sz="0" w:space="0" w:color="auto"/>
              </w:divBdr>
            </w:div>
            <w:div w:id="1773937561">
              <w:marLeft w:val="480"/>
              <w:marRight w:val="0"/>
              <w:marTop w:val="0"/>
              <w:marBottom w:val="0"/>
              <w:divBdr>
                <w:top w:val="none" w:sz="0" w:space="0" w:color="auto"/>
                <w:left w:val="none" w:sz="0" w:space="0" w:color="auto"/>
                <w:bottom w:val="none" w:sz="0" w:space="0" w:color="auto"/>
                <w:right w:val="none" w:sz="0" w:space="0" w:color="auto"/>
              </w:divBdr>
            </w:div>
            <w:div w:id="860778915">
              <w:marLeft w:val="480"/>
              <w:marRight w:val="0"/>
              <w:marTop w:val="0"/>
              <w:marBottom w:val="0"/>
              <w:divBdr>
                <w:top w:val="none" w:sz="0" w:space="0" w:color="auto"/>
                <w:left w:val="none" w:sz="0" w:space="0" w:color="auto"/>
                <w:bottom w:val="none" w:sz="0" w:space="0" w:color="auto"/>
                <w:right w:val="none" w:sz="0" w:space="0" w:color="auto"/>
              </w:divBdr>
            </w:div>
            <w:div w:id="805977432">
              <w:marLeft w:val="480"/>
              <w:marRight w:val="0"/>
              <w:marTop w:val="0"/>
              <w:marBottom w:val="0"/>
              <w:divBdr>
                <w:top w:val="none" w:sz="0" w:space="0" w:color="auto"/>
                <w:left w:val="none" w:sz="0" w:space="0" w:color="auto"/>
                <w:bottom w:val="none" w:sz="0" w:space="0" w:color="auto"/>
                <w:right w:val="none" w:sz="0" w:space="0" w:color="auto"/>
              </w:divBdr>
            </w:div>
            <w:div w:id="31997552">
              <w:marLeft w:val="480"/>
              <w:marRight w:val="0"/>
              <w:marTop w:val="0"/>
              <w:marBottom w:val="0"/>
              <w:divBdr>
                <w:top w:val="none" w:sz="0" w:space="0" w:color="auto"/>
                <w:left w:val="none" w:sz="0" w:space="0" w:color="auto"/>
                <w:bottom w:val="none" w:sz="0" w:space="0" w:color="auto"/>
                <w:right w:val="none" w:sz="0" w:space="0" w:color="auto"/>
              </w:divBdr>
            </w:div>
            <w:div w:id="1600061851">
              <w:marLeft w:val="480"/>
              <w:marRight w:val="0"/>
              <w:marTop w:val="0"/>
              <w:marBottom w:val="0"/>
              <w:divBdr>
                <w:top w:val="none" w:sz="0" w:space="0" w:color="auto"/>
                <w:left w:val="none" w:sz="0" w:space="0" w:color="auto"/>
                <w:bottom w:val="none" w:sz="0" w:space="0" w:color="auto"/>
                <w:right w:val="none" w:sz="0" w:space="0" w:color="auto"/>
              </w:divBdr>
            </w:div>
            <w:div w:id="595672391">
              <w:marLeft w:val="480"/>
              <w:marRight w:val="0"/>
              <w:marTop w:val="0"/>
              <w:marBottom w:val="0"/>
              <w:divBdr>
                <w:top w:val="none" w:sz="0" w:space="0" w:color="auto"/>
                <w:left w:val="none" w:sz="0" w:space="0" w:color="auto"/>
                <w:bottom w:val="none" w:sz="0" w:space="0" w:color="auto"/>
                <w:right w:val="none" w:sz="0" w:space="0" w:color="auto"/>
              </w:divBdr>
            </w:div>
            <w:div w:id="1946109259">
              <w:marLeft w:val="240"/>
              <w:marRight w:val="0"/>
              <w:marTop w:val="0"/>
              <w:marBottom w:val="0"/>
              <w:divBdr>
                <w:top w:val="none" w:sz="0" w:space="0" w:color="auto"/>
                <w:left w:val="none" w:sz="0" w:space="0" w:color="auto"/>
                <w:bottom w:val="none" w:sz="0" w:space="0" w:color="auto"/>
                <w:right w:val="none" w:sz="0" w:space="0" w:color="auto"/>
              </w:divBdr>
            </w:div>
            <w:div w:id="1668245659">
              <w:marLeft w:val="240"/>
              <w:marRight w:val="0"/>
              <w:marTop w:val="0"/>
              <w:marBottom w:val="0"/>
              <w:divBdr>
                <w:top w:val="none" w:sz="0" w:space="0" w:color="auto"/>
                <w:left w:val="none" w:sz="0" w:space="0" w:color="auto"/>
                <w:bottom w:val="none" w:sz="0" w:space="0" w:color="auto"/>
                <w:right w:val="none" w:sz="0" w:space="0" w:color="auto"/>
              </w:divBdr>
            </w:div>
            <w:div w:id="802694250">
              <w:marLeft w:val="240"/>
              <w:marRight w:val="0"/>
              <w:marTop w:val="0"/>
              <w:marBottom w:val="0"/>
              <w:divBdr>
                <w:top w:val="none" w:sz="0" w:space="0" w:color="auto"/>
                <w:left w:val="none" w:sz="0" w:space="0" w:color="auto"/>
                <w:bottom w:val="none" w:sz="0" w:space="0" w:color="auto"/>
                <w:right w:val="none" w:sz="0" w:space="0" w:color="auto"/>
              </w:divBdr>
            </w:div>
            <w:div w:id="2041740270">
              <w:marLeft w:val="240"/>
              <w:marRight w:val="0"/>
              <w:marTop w:val="0"/>
              <w:marBottom w:val="0"/>
              <w:divBdr>
                <w:top w:val="none" w:sz="0" w:space="0" w:color="auto"/>
                <w:left w:val="none" w:sz="0" w:space="0" w:color="auto"/>
                <w:bottom w:val="none" w:sz="0" w:space="0" w:color="auto"/>
                <w:right w:val="none" w:sz="0" w:space="0" w:color="auto"/>
              </w:divBdr>
            </w:div>
            <w:div w:id="369769738">
              <w:marLeft w:val="240"/>
              <w:marRight w:val="0"/>
              <w:marTop w:val="0"/>
              <w:marBottom w:val="0"/>
              <w:divBdr>
                <w:top w:val="none" w:sz="0" w:space="0" w:color="auto"/>
                <w:left w:val="none" w:sz="0" w:space="0" w:color="auto"/>
                <w:bottom w:val="none" w:sz="0" w:space="0" w:color="auto"/>
                <w:right w:val="none" w:sz="0" w:space="0" w:color="auto"/>
              </w:divBdr>
            </w:div>
            <w:div w:id="1302616706">
              <w:marLeft w:val="240"/>
              <w:marRight w:val="0"/>
              <w:marTop w:val="0"/>
              <w:marBottom w:val="0"/>
              <w:divBdr>
                <w:top w:val="none" w:sz="0" w:space="0" w:color="auto"/>
                <w:left w:val="none" w:sz="0" w:space="0" w:color="auto"/>
                <w:bottom w:val="none" w:sz="0" w:space="0" w:color="auto"/>
                <w:right w:val="none" w:sz="0" w:space="0" w:color="auto"/>
              </w:divBdr>
            </w:div>
            <w:div w:id="1461419901">
              <w:marLeft w:val="240"/>
              <w:marRight w:val="0"/>
              <w:marTop w:val="0"/>
              <w:marBottom w:val="0"/>
              <w:divBdr>
                <w:top w:val="none" w:sz="0" w:space="0" w:color="auto"/>
                <w:left w:val="none" w:sz="0" w:space="0" w:color="auto"/>
                <w:bottom w:val="none" w:sz="0" w:space="0" w:color="auto"/>
                <w:right w:val="none" w:sz="0" w:space="0" w:color="auto"/>
              </w:divBdr>
            </w:div>
            <w:div w:id="107088887">
              <w:marLeft w:val="240"/>
              <w:marRight w:val="0"/>
              <w:marTop w:val="0"/>
              <w:marBottom w:val="0"/>
              <w:divBdr>
                <w:top w:val="none" w:sz="0" w:space="0" w:color="auto"/>
                <w:left w:val="none" w:sz="0" w:space="0" w:color="auto"/>
                <w:bottom w:val="none" w:sz="0" w:space="0" w:color="auto"/>
                <w:right w:val="none" w:sz="0" w:space="0" w:color="auto"/>
              </w:divBdr>
            </w:div>
            <w:div w:id="34430073">
              <w:marLeft w:val="240"/>
              <w:marRight w:val="0"/>
              <w:marTop w:val="0"/>
              <w:marBottom w:val="0"/>
              <w:divBdr>
                <w:top w:val="none" w:sz="0" w:space="0" w:color="auto"/>
                <w:left w:val="none" w:sz="0" w:space="0" w:color="auto"/>
                <w:bottom w:val="none" w:sz="0" w:space="0" w:color="auto"/>
                <w:right w:val="none" w:sz="0" w:space="0" w:color="auto"/>
              </w:divBdr>
            </w:div>
            <w:div w:id="782771898">
              <w:marLeft w:val="240"/>
              <w:marRight w:val="0"/>
              <w:marTop w:val="0"/>
              <w:marBottom w:val="0"/>
              <w:divBdr>
                <w:top w:val="none" w:sz="0" w:space="0" w:color="auto"/>
                <w:left w:val="none" w:sz="0" w:space="0" w:color="auto"/>
                <w:bottom w:val="none" w:sz="0" w:space="0" w:color="auto"/>
                <w:right w:val="none" w:sz="0" w:space="0" w:color="auto"/>
              </w:divBdr>
            </w:div>
            <w:div w:id="870799971">
              <w:marLeft w:val="240"/>
              <w:marRight w:val="0"/>
              <w:marTop w:val="0"/>
              <w:marBottom w:val="0"/>
              <w:divBdr>
                <w:top w:val="none" w:sz="0" w:space="0" w:color="auto"/>
                <w:left w:val="none" w:sz="0" w:space="0" w:color="auto"/>
                <w:bottom w:val="none" w:sz="0" w:space="0" w:color="auto"/>
                <w:right w:val="none" w:sz="0" w:space="0" w:color="auto"/>
              </w:divBdr>
            </w:div>
            <w:div w:id="814879069">
              <w:marLeft w:val="240"/>
              <w:marRight w:val="0"/>
              <w:marTop w:val="0"/>
              <w:marBottom w:val="0"/>
              <w:divBdr>
                <w:top w:val="none" w:sz="0" w:space="0" w:color="auto"/>
                <w:left w:val="none" w:sz="0" w:space="0" w:color="auto"/>
                <w:bottom w:val="none" w:sz="0" w:space="0" w:color="auto"/>
                <w:right w:val="none" w:sz="0" w:space="0" w:color="auto"/>
              </w:divBdr>
            </w:div>
            <w:div w:id="303001546">
              <w:marLeft w:val="480"/>
              <w:marRight w:val="0"/>
              <w:marTop w:val="0"/>
              <w:marBottom w:val="0"/>
              <w:divBdr>
                <w:top w:val="none" w:sz="0" w:space="0" w:color="auto"/>
                <w:left w:val="none" w:sz="0" w:space="0" w:color="auto"/>
                <w:bottom w:val="none" w:sz="0" w:space="0" w:color="auto"/>
                <w:right w:val="none" w:sz="0" w:space="0" w:color="auto"/>
              </w:divBdr>
            </w:div>
            <w:div w:id="1222982502">
              <w:marLeft w:val="480"/>
              <w:marRight w:val="0"/>
              <w:marTop w:val="0"/>
              <w:marBottom w:val="0"/>
              <w:divBdr>
                <w:top w:val="none" w:sz="0" w:space="0" w:color="auto"/>
                <w:left w:val="none" w:sz="0" w:space="0" w:color="auto"/>
                <w:bottom w:val="none" w:sz="0" w:space="0" w:color="auto"/>
                <w:right w:val="none" w:sz="0" w:space="0" w:color="auto"/>
              </w:divBdr>
            </w:div>
            <w:div w:id="1624925256">
              <w:marLeft w:val="480"/>
              <w:marRight w:val="0"/>
              <w:marTop w:val="0"/>
              <w:marBottom w:val="0"/>
              <w:divBdr>
                <w:top w:val="none" w:sz="0" w:space="0" w:color="auto"/>
                <w:left w:val="none" w:sz="0" w:space="0" w:color="auto"/>
                <w:bottom w:val="none" w:sz="0" w:space="0" w:color="auto"/>
                <w:right w:val="none" w:sz="0" w:space="0" w:color="auto"/>
              </w:divBdr>
            </w:div>
            <w:div w:id="1390491323">
              <w:marLeft w:val="480"/>
              <w:marRight w:val="0"/>
              <w:marTop w:val="0"/>
              <w:marBottom w:val="0"/>
              <w:divBdr>
                <w:top w:val="none" w:sz="0" w:space="0" w:color="auto"/>
                <w:left w:val="none" w:sz="0" w:space="0" w:color="auto"/>
                <w:bottom w:val="none" w:sz="0" w:space="0" w:color="auto"/>
                <w:right w:val="none" w:sz="0" w:space="0" w:color="auto"/>
              </w:divBdr>
            </w:div>
            <w:div w:id="786118126">
              <w:marLeft w:val="480"/>
              <w:marRight w:val="0"/>
              <w:marTop w:val="0"/>
              <w:marBottom w:val="0"/>
              <w:divBdr>
                <w:top w:val="none" w:sz="0" w:space="0" w:color="auto"/>
                <w:left w:val="none" w:sz="0" w:space="0" w:color="auto"/>
                <w:bottom w:val="none" w:sz="0" w:space="0" w:color="auto"/>
                <w:right w:val="none" w:sz="0" w:space="0" w:color="auto"/>
              </w:divBdr>
            </w:div>
            <w:div w:id="1937051365">
              <w:marLeft w:val="480"/>
              <w:marRight w:val="0"/>
              <w:marTop w:val="0"/>
              <w:marBottom w:val="0"/>
              <w:divBdr>
                <w:top w:val="none" w:sz="0" w:space="0" w:color="auto"/>
                <w:left w:val="none" w:sz="0" w:space="0" w:color="auto"/>
                <w:bottom w:val="none" w:sz="0" w:space="0" w:color="auto"/>
                <w:right w:val="none" w:sz="0" w:space="0" w:color="auto"/>
              </w:divBdr>
            </w:div>
            <w:div w:id="1707633024">
              <w:marLeft w:val="480"/>
              <w:marRight w:val="0"/>
              <w:marTop w:val="0"/>
              <w:marBottom w:val="0"/>
              <w:divBdr>
                <w:top w:val="none" w:sz="0" w:space="0" w:color="auto"/>
                <w:left w:val="none" w:sz="0" w:space="0" w:color="auto"/>
                <w:bottom w:val="none" w:sz="0" w:space="0" w:color="auto"/>
                <w:right w:val="none" w:sz="0" w:space="0" w:color="auto"/>
              </w:divBdr>
            </w:div>
            <w:div w:id="1892885169">
              <w:marLeft w:val="480"/>
              <w:marRight w:val="0"/>
              <w:marTop w:val="0"/>
              <w:marBottom w:val="0"/>
              <w:divBdr>
                <w:top w:val="none" w:sz="0" w:space="0" w:color="auto"/>
                <w:left w:val="none" w:sz="0" w:space="0" w:color="auto"/>
                <w:bottom w:val="none" w:sz="0" w:space="0" w:color="auto"/>
                <w:right w:val="none" w:sz="0" w:space="0" w:color="auto"/>
              </w:divBdr>
            </w:div>
            <w:div w:id="1921210889">
              <w:marLeft w:val="480"/>
              <w:marRight w:val="0"/>
              <w:marTop w:val="0"/>
              <w:marBottom w:val="0"/>
              <w:divBdr>
                <w:top w:val="none" w:sz="0" w:space="0" w:color="auto"/>
                <w:left w:val="none" w:sz="0" w:space="0" w:color="auto"/>
                <w:bottom w:val="none" w:sz="0" w:space="0" w:color="auto"/>
                <w:right w:val="none" w:sz="0" w:space="0" w:color="auto"/>
              </w:divBdr>
            </w:div>
            <w:div w:id="789591894">
              <w:marLeft w:val="480"/>
              <w:marRight w:val="0"/>
              <w:marTop w:val="0"/>
              <w:marBottom w:val="0"/>
              <w:divBdr>
                <w:top w:val="none" w:sz="0" w:space="0" w:color="auto"/>
                <w:left w:val="none" w:sz="0" w:space="0" w:color="auto"/>
                <w:bottom w:val="none" w:sz="0" w:space="0" w:color="auto"/>
                <w:right w:val="none" w:sz="0" w:space="0" w:color="auto"/>
              </w:divBdr>
            </w:div>
            <w:div w:id="1867211246">
              <w:marLeft w:val="480"/>
              <w:marRight w:val="0"/>
              <w:marTop w:val="0"/>
              <w:marBottom w:val="0"/>
              <w:divBdr>
                <w:top w:val="none" w:sz="0" w:space="0" w:color="auto"/>
                <w:left w:val="none" w:sz="0" w:space="0" w:color="auto"/>
                <w:bottom w:val="none" w:sz="0" w:space="0" w:color="auto"/>
                <w:right w:val="none" w:sz="0" w:space="0" w:color="auto"/>
              </w:divBdr>
            </w:div>
            <w:div w:id="11809556">
              <w:marLeft w:val="480"/>
              <w:marRight w:val="0"/>
              <w:marTop w:val="0"/>
              <w:marBottom w:val="0"/>
              <w:divBdr>
                <w:top w:val="none" w:sz="0" w:space="0" w:color="auto"/>
                <w:left w:val="none" w:sz="0" w:space="0" w:color="auto"/>
                <w:bottom w:val="none" w:sz="0" w:space="0" w:color="auto"/>
                <w:right w:val="none" w:sz="0" w:space="0" w:color="auto"/>
              </w:divBdr>
            </w:div>
            <w:div w:id="797258767">
              <w:marLeft w:val="480"/>
              <w:marRight w:val="0"/>
              <w:marTop w:val="0"/>
              <w:marBottom w:val="0"/>
              <w:divBdr>
                <w:top w:val="none" w:sz="0" w:space="0" w:color="auto"/>
                <w:left w:val="none" w:sz="0" w:space="0" w:color="auto"/>
                <w:bottom w:val="none" w:sz="0" w:space="0" w:color="auto"/>
                <w:right w:val="none" w:sz="0" w:space="0" w:color="auto"/>
              </w:divBdr>
            </w:div>
            <w:div w:id="805896860">
              <w:marLeft w:val="480"/>
              <w:marRight w:val="0"/>
              <w:marTop w:val="0"/>
              <w:marBottom w:val="0"/>
              <w:divBdr>
                <w:top w:val="none" w:sz="0" w:space="0" w:color="auto"/>
                <w:left w:val="none" w:sz="0" w:space="0" w:color="auto"/>
                <w:bottom w:val="none" w:sz="0" w:space="0" w:color="auto"/>
                <w:right w:val="none" w:sz="0" w:space="0" w:color="auto"/>
              </w:divBdr>
            </w:div>
            <w:div w:id="369304452">
              <w:marLeft w:val="480"/>
              <w:marRight w:val="0"/>
              <w:marTop w:val="0"/>
              <w:marBottom w:val="0"/>
              <w:divBdr>
                <w:top w:val="none" w:sz="0" w:space="0" w:color="auto"/>
                <w:left w:val="none" w:sz="0" w:space="0" w:color="auto"/>
                <w:bottom w:val="none" w:sz="0" w:space="0" w:color="auto"/>
                <w:right w:val="none" w:sz="0" w:space="0" w:color="auto"/>
              </w:divBdr>
            </w:div>
            <w:div w:id="438643902">
              <w:marLeft w:val="480"/>
              <w:marRight w:val="0"/>
              <w:marTop w:val="0"/>
              <w:marBottom w:val="0"/>
              <w:divBdr>
                <w:top w:val="none" w:sz="0" w:space="0" w:color="auto"/>
                <w:left w:val="none" w:sz="0" w:space="0" w:color="auto"/>
                <w:bottom w:val="none" w:sz="0" w:space="0" w:color="auto"/>
                <w:right w:val="none" w:sz="0" w:space="0" w:color="auto"/>
              </w:divBdr>
            </w:div>
            <w:div w:id="1224606442">
              <w:marLeft w:val="240"/>
              <w:marRight w:val="0"/>
              <w:marTop w:val="0"/>
              <w:marBottom w:val="0"/>
              <w:divBdr>
                <w:top w:val="none" w:sz="0" w:space="0" w:color="auto"/>
                <w:left w:val="none" w:sz="0" w:space="0" w:color="auto"/>
                <w:bottom w:val="none" w:sz="0" w:space="0" w:color="auto"/>
                <w:right w:val="none" w:sz="0" w:space="0" w:color="auto"/>
              </w:divBdr>
            </w:div>
            <w:div w:id="723911624">
              <w:marLeft w:val="480"/>
              <w:marRight w:val="0"/>
              <w:marTop w:val="0"/>
              <w:marBottom w:val="0"/>
              <w:divBdr>
                <w:top w:val="none" w:sz="0" w:space="0" w:color="auto"/>
                <w:left w:val="none" w:sz="0" w:space="0" w:color="auto"/>
                <w:bottom w:val="none" w:sz="0" w:space="0" w:color="auto"/>
                <w:right w:val="none" w:sz="0" w:space="0" w:color="auto"/>
              </w:divBdr>
            </w:div>
            <w:div w:id="187572896">
              <w:marLeft w:val="480"/>
              <w:marRight w:val="0"/>
              <w:marTop w:val="0"/>
              <w:marBottom w:val="0"/>
              <w:divBdr>
                <w:top w:val="none" w:sz="0" w:space="0" w:color="auto"/>
                <w:left w:val="none" w:sz="0" w:space="0" w:color="auto"/>
                <w:bottom w:val="none" w:sz="0" w:space="0" w:color="auto"/>
                <w:right w:val="none" w:sz="0" w:space="0" w:color="auto"/>
              </w:divBdr>
            </w:div>
            <w:div w:id="2030907407">
              <w:marLeft w:val="480"/>
              <w:marRight w:val="0"/>
              <w:marTop w:val="0"/>
              <w:marBottom w:val="0"/>
              <w:divBdr>
                <w:top w:val="none" w:sz="0" w:space="0" w:color="auto"/>
                <w:left w:val="none" w:sz="0" w:space="0" w:color="auto"/>
                <w:bottom w:val="none" w:sz="0" w:space="0" w:color="auto"/>
                <w:right w:val="none" w:sz="0" w:space="0" w:color="auto"/>
              </w:divBdr>
            </w:div>
            <w:div w:id="54164737">
              <w:marLeft w:val="480"/>
              <w:marRight w:val="0"/>
              <w:marTop w:val="0"/>
              <w:marBottom w:val="0"/>
              <w:divBdr>
                <w:top w:val="none" w:sz="0" w:space="0" w:color="auto"/>
                <w:left w:val="none" w:sz="0" w:space="0" w:color="auto"/>
                <w:bottom w:val="none" w:sz="0" w:space="0" w:color="auto"/>
                <w:right w:val="none" w:sz="0" w:space="0" w:color="auto"/>
              </w:divBdr>
            </w:div>
            <w:div w:id="713580918">
              <w:marLeft w:val="480"/>
              <w:marRight w:val="0"/>
              <w:marTop w:val="0"/>
              <w:marBottom w:val="0"/>
              <w:divBdr>
                <w:top w:val="none" w:sz="0" w:space="0" w:color="auto"/>
                <w:left w:val="none" w:sz="0" w:space="0" w:color="auto"/>
                <w:bottom w:val="none" w:sz="0" w:space="0" w:color="auto"/>
                <w:right w:val="none" w:sz="0" w:space="0" w:color="auto"/>
              </w:divBdr>
            </w:div>
            <w:div w:id="581526551">
              <w:marLeft w:val="480"/>
              <w:marRight w:val="0"/>
              <w:marTop w:val="0"/>
              <w:marBottom w:val="0"/>
              <w:divBdr>
                <w:top w:val="none" w:sz="0" w:space="0" w:color="auto"/>
                <w:left w:val="none" w:sz="0" w:space="0" w:color="auto"/>
                <w:bottom w:val="none" w:sz="0" w:space="0" w:color="auto"/>
                <w:right w:val="none" w:sz="0" w:space="0" w:color="auto"/>
              </w:divBdr>
            </w:div>
            <w:div w:id="1618296448">
              <w:marLeft w:val="480"/>
              <w:marRight w:val="0"/>
              <w:marTop w:val="0"/>
              <w:marBottom w:val="0"/>
              <w:divBdr>
                <w:top w:val="none" w:sz="0" w:space="0" w:color="auto"/>
                <w:left w:val="none" w:sz="0" w:space="0" w:color="auto"/>
                <w:bottom w:val="none" w:sz="0" w:space="0" w:color="auto"/>
                <w:right w:val="none" w:sz="0" w:space="0" w:color="auto"/>
              </w:divBdr>
            </w:div>
            <w:div w:id="1175461784">
              <w:marLeft w:val="480"/>
              <w:marRight w:val="0"/>
              <w:marTop w:val="0"/>
              <w:marBottom w:val="0"/>
              <w:divBdr>
                <w:top w:val="none" w:sz="0" w:space="0" w:color="auto"/>
                <w:left w:val="none" w:sz="0" w:space="0" w:color="auto"/>
                <w:bottom w:val="none" w:sz="0" w:space="0" w:color="auto"/>
                <w:right w:val="none" w:sz="0" w:space="0" w:color="auto"/>
              </w:divBdr>
            </w:div>
            <w:div w:id="617569827">
              <w:marLeft w:val="480"/>
              <w:marRight w:val="0"/>
              <w:marTop w:val="0"/>
              <w:marBottom w:val="0"/>
              <w:divBdr>
                <w:top w:val="none" w:sz="0" w:space="0" w:color="auto"/>
                <w:left w:val="none" w:sz="0" w:space="0" w:color="auto"/>
                <w:bottom w:val="none" w:sz="0" w:space="0" w:color="auto"/>
                <w:right w:val="none" w:sz="0" w:space="0" w:color="auto"/>
              </w:divBdr>
            </w:div>
            <w:div w:id="170336421">
              <w:marLeft w:val="480"/>
              <w:marRight w:val="0"/>
              <w:marTop w:val="0"/>
              <w:marBottom w:val="0"/>
              <w:divBdr>
                <w:top w:val="none" w:sz="0" w:space="0" w:color="auto"/>
                <w:left w:val="none" w:sz="0" w:space="0" w:color="auto"/>
                <w:bottom w:val="none" w:sz="0" w:space="0" w:color="auto"/>
                <w:right w:val="none" w:sz="0" w:space="0" w:color="auto"/>
              </w:divBdr>
            </w:div>
            <w:div w:id="1513760169">
              <w:marLeft w:val="480"/>
              <w:marRight w:val="0"/>
              <w:marTop w:val="0"/>
              <w:marBottom w:val="0"/>
              <w:divBdr>
                <w:top w:val="none" w:sz="0" w:space="0" w:color="auto"/>
                <w:left w:val="none" w:sz="0" w:space="0" w:color="auto"/>
                <w:bottom w:val="none" w:sz="0" w:space="0" w:color="auto"/>
                <w:right w:val="none" w:sz="0" w:space="0" w:color="auto"/>
              </w:divBdr>
            </w:div>
            <w:div w:id="1426803344">
              <w:marLeft w:val="480"/>
              <w:marRight w:val="0"/>
              <w:marTop w:val="0"/>
              <w:marBottom w:val="0"/>
              <w:divBdr>
                <w:top w:val="none" w:sz="0" w:space="0" w:color="auto"/>
                <w:left w:val="none" w:sz="0" w:space="0" w:color="auto"/>
                <w:bottom w:val="none" w:sz="0" w:space="0" w:color="auto"/>
                <w:right w:val="none" w:sz="0" w:space="0" w:color="auto"/>
              </w:divBdr>
            </w:div>
            <w:div w:id="1043212899">
              <w:marLeft w:val="480"/>
              <w:marRight w:val="0"/>
              <w:marTop w:val="0"/>
              <w:marBottom w:val="0"/>
              <w:divBdr>
                <w:top w:val="none" w:sz="0" w:space="0" w:color="auto"/>
                <w:left w:val="none" w:sz="0" w:space="0" w:color="auto"/>
                <w:bottom w:val="none" w:sz="0" w:space="0" w:color="auto"/>
                <w:right w:val="none" w:sz="0" w:space="0" w:color="auto"/>
              </w:divBdr>
            </w:div>
            <w:div w:id="513888371">
              <w:marLeft w:val="480"/>
              <w:marRight w:val="0"/>
              <w:marTop w:val="0"/>
              <w:marBottom w:val="0"/>
              <w:divBdr>
                <w:top w:val="none" w:sz="0" w:space="0" w:color="auto"/>
                <w:left w:val="none" w:sz="0" w:space="0" w:color="auto"/>
                <w:bottom w:val="none" w:sz="0" w:space="0" w:color="auto"/>
                <w:right w:val="none" w:sz="0" w:space="0" w:color="auto"/>
              </w:divBdr>
            </w:div>
            <w:div w:id="1867938952">
              <w:marLeft w:val="480"/>
              <w:marRight w:val="0"/>
              <w:marTop w:val="0"/>
              <w:marBottom w:val="0"/>
              <w:divBdr>
                <w:top w:val="none" w:sz="0" w:space="0" w:color="auto"/>
                <w:left w:val="none" w:sz="0" w:space="0" w:color="auto"/>
                <w:bottom w:val="none" w:sz="0" w:space="0" w:color="auto"/>
                <w:right w:val="none" w:sz="0" w:space="0" w:color="auto"/>
              </w:divBdr>
            </w:div>
            <w:div w:id="753016247">
              <w:marLeft w:val="480"/>
              <w:marRight w:val="0"/>
              <w:marTop w:val="0"/>
              <w:marBottom w:val="0"/>
              <w:divBdr>
                <w:top w:val="none" w:sz="0" w:space="0" w:color="auto"/>
                <w:left w:val="none" w:sz="0" w:space="0" w:color="auto"/>
                <w:bottom w:val="none" w:sz="0" w:space="0" w:color="auto"/>
                <w:right w:val="none" w:sz="0" w:space="0" w:color="auto"/>
              </w:divBdr>
            </w:div>
            <w:div w:id="201330010">
              <w:marLeft w:val="480"/>
              <w:marRight w:val="0"/>
              <w:marTop w:val="0"/>
              <w:marBottom w:val="0"/>
              <w:divBdr>
                <w:top w:val="none" w:sz="0" w:space="0" w:color="auto"/>
                <w:left w:val="none" w:sz="0" w:space="0" w:color="auto"/>
                <w:bottom w:val="none" w:sz="0" w:space="0" w:color="auto"/>
                <w:right w:val="none" w:sz="0" w:space="0" w:color="auto"/>
              </w:divBdr>
            </w:div>
            <w:div w:id="750345986">
              <w:marLeft w:val="480"/>
              <w:marRight w:val="0"/>
              <w:marTop w:val="0"/>
              <w:marBottom w:val="0"/>
              <w:divBdr>
                <w:top w:val="none" w:sz="0" w:space="0" w:color="auto"/>
                <w:left w:val="none" w:sz="0" w:space="0" w:color="auto"/>
                <w:bottom w:val="none" w:sz="0" w:space="0" w:color="auto"/>
                <w:right w:val="none" w:sz="0" w:space="0" w:color="auto"/>
              </w:divBdr>
              <w:divsChild>
                <w:div w:id="1283270179">
                  <w:marLeft w:val="240"/>
                  <w:marRight w:val="0"/>
                  <w:marTop w:val="0"/>
                  <w:marBottom w:val="0"/>
                  <w:divBdr>
                    <w:top w:val="none" w:sz="0" w:space="0" w:color="auto"/>
                    <w:left w:val="none" w:sz="0" w:space="0" w:color="auto"/>
                    <w:bottom w:val="none" w:sz="0" w:space="0" w:color="auto"/>
                    <w:right w:val="none" w:sz="0" w:space="0" w:color="auto"/>
                  </w:divBdr>
                </w:div>
                <w:div w:id="2036425282">
                  <w:marLeft w:val="240"/>
                  <w:marRight w:val="0"/>
                  <w:marTop w:val="0"/>
                  <w:marBottom w:val="0"/>
                  <w:divBdr>
                    <w:top w:val="none" w:sz="0" w:space="0" w:color="auto"/>
                    <w:left w:val="none" w:sz="0" w:space="0" w:color="auto"/>
                    <w:bottom w:val="none" w:sz="0" w:space="0" w:color="auto"/>
                    <w:right w:val="none" w:sz="0" w:space="0" w:color="auto"/>
                  </w:divBdr>
                  <w:divsChild>
                    <w:div w:id="344014577">
                      <w:marLeft w:val="240"/>
                      <w:marRight w:val="0"/>
                      <w:marTop w:val="0"/>
                      <w:marBottom w:val="0"/>
                      <w:divBdr>
                        <w:top w:val="none" w:sz="0" w:space="0" w:color="auto"/>
                        <w:left w:val="none" w:sz="0" w:space="0" w:color="auto"/>
                        <w:bottom w:val="none" w:sz="0" w:space="0" w:color="auto"/>
                        <w:right w:val="none" w:sz="0" w:space="0" w:color="auto"/>
                      </w:divBdr>
                    </w:div>
                    <w:div w:id="8087414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35990">
      <w:bodyDiv w:val="1"/>
      <w:marLeft w:val="0"/>
      <w:marRight w:val="0"/>
      <w:marTop w:val="0"/>
      <w:marBottom w:val="0"/>
      <w:divBdr>
        <w:top w:val="none" w:sz="0" w:space="0" w:color="auto"/>
        <w:left w:val="none" w:sz="0" w:space="0" w:color="auto"/>
        <w:bottom w:val="none" w:sz="0" w:space="0" w:color="auto"/>
        <w:right w:val="none" w:sz="0" w:space="0" w:color="auto"/>
      </w:divBdr>
    </w:div>
    <w:div w:id="20794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CS/AUTO/?uri=celex:32008L0051R%2804%2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CS/AUTO/?uri=celex:31991L0477R%2805%29" TargetMode="External"/><Relationship Id="rId5" Type="http://schemas.openxmlformats.org/officeDocument/2006/relationships/webSettings" Target="webSettings.xml"/><Relationship Id="rId10" Type="http://schemas.openxmlformats.org/officeDocument/2006/relationships/hyperlink" Target="http://eur-lex.europa.eu/legal-content/CS/AUTO/?uri=celex:32008L0051R%2804%29" TargetMode="External"/><Relationship Id="rId4" Type="http://schemas.openxmlformats.org/officeDocument/2006/relationships/settings" Target="settings.xml"/><Relationship Id="rId9" Type="http://schemas.openxmlformats.org/officeDocument/2006/relationships/hyperlink" Target="http://eur-lex.europa.eu/legal-content/CS/AUTO/?uri=celex:32008L0051R%2804%29"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sides/getDoc.do?pubRef=-//EP//TEXT+TA+P8-TA-2017-0068+0+DOC+XML+V0//C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84B0-6DD3-4CE3-AE52-DDFD0BC3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12235</Words>
  <Characters>72189</Characters>
  <Application>Microsoft Office Word</Application>
  <DocSecurity>0</DocSecurity>
  <Lines>601</Lines>
  <Paragraphs>168</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84256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MVCR</cp:lastModifiedBy>
  <cp:revision>2</cp:revision>
  <dcterms:created xsi:type="dcterms:W3CDTF">2017-04-26T10:58:00Z</dcterms:created>
  <dcterms:modified xsi:type="dcterms:W3CDTF">2017-04-26T10:58:00Z</dcterms:modified>
</cp:coreProperties>
</file>